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82555" w14:textId="2CB2C4A5" w:rsidR="000456CE" w:rsidRDefault="000456CE" w:rsidP="0061044C">
      <w:pPr>
        <w:rPr>
          <w:sz w:val="20"/>
          <w:szCs w:val="20"/>
        </w:rPr>
      </w:pPr>
      <w:r>
        <w:rPr>
          <w:noProof/>
          <w:sz w:val="20"/>
          <w:szCs w:val="20"/>
        </w:rPr>
        <w:drawing>
          <wp:inline distT="0" distB="0" distL="0" distR="0" wp14:anchorId="3E7F013C" wp14:editId="4B204090">
            <wp:extent cx="3992691" cy="114403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WU full logo.jpg"/>
                    <pic:cNvPicPr/>
                  </pic:nvPicPr>
                  <pic:blipFill>
                    <a:blip r:embed="rId8">
                      <a:extLst>
                        <a:ext uri="{28A0092B-C50C-407E-A947-70E740481C1C}">
                          <a14:useLocalDpi xmlns:a14="http://schemas.microsoft.com/office/drawing/2010/main" val="0"/>
                        </a:ext>
                      </a:extLst>
                    </a:blip>
                    <a:stretch>
                      <a:fillRect/>
                    </a:stretch>
                  </pic:blipFill>
                  <pic:spPr>
                    <a:xfrm>
                      <a:off x="0" y="0"/>
                      <a:ext cx="4059834" cy="1163277"/>
                    </a:xfrm>
                    <a:prstGeom prst="rect">
                      <a:avLst/>
                    </a:prstGeom>
                  </pic:spPr>
                </pic:pic>
              </a:graphicData>
            </a:graphic>
          </wp:inline>
        </w:drawing>
      </w:r>
    </w:p>
    <w:p w14:paraId="21A3C771" w14:textId="77777777" w:rsidR="00407AEE" w:rsidRDefault="00407AEE">
      <w:pPr>
        <w:rPr>
          <w:b/>
          <w:bCs/>
          <w:sz w:val="20"/>
          <w:szCs w:val="20"/>
        </w:rPr>
      </w:pPr>
    </w:p>
    <w:p w14:paraId="553D53EE" w14:textId="58070DA8" w:rsidR="000456CE" w:rsidRPr="000456CE" w:rsidRDefault="000456CE">
      <w:pPr>
        <w:rPr>
          <w:b/>
          <w:bCs/>
          <w:sz w:val="20"/>
          <w:szCs w:val="20"/>
        </w:rPr>
      </w:pPr>
      <w:r w:rsidRPr="000456CE">
        <w:rPr>
          <w:b/>
          <w:bCs/>
          <w:sz w:val="20"/>
          <w:szCs w:val="20"/>
        </w:rPr>
        <w:t>Analysis of Existing Health Sector Equity Tools</w:t>
      </w:r>
    </w:p>
    <w:p w14:paraId="156EDAAB" w14:textId="77777777" w:rsidR="00F605AA" w:rsidRPr="005E5CE7" w:rsidRDefault="00F605AA">
      <w:pPr>
        <w:rPr>
          <w:sz w:val="18"/>
          <w:szCs w:val="18"/>
        </w:rPr>
      </w:pPr>
    </w:p>
    <w:tbl>
      <w:tblPr>
        <w:tblStyle w:val="TableGrid"/>
        <w:tblW w:w="22108" w:type="dxa"/>
        <w:tblLayout w:type="fixed"/>
        <w:tblLook w:val="04A0" w:firstRow="1" w:lastRow="0" w:firstColumn="1" w:lastColumn="0" w:noHBand="0" w:noVBand="1"/>
      </w:tblPr>
      <w:tblGrid>
        <w:gridCol w:w="1980"/>
        <w:gridCol w:w="3969"/>
        <w:gridCol w:w="3969"/>
        <w:gridCol w:w="3969"/>
        <w:gridCol w:w="4111"/>
        <w:gridCol w:w="4110"/>
      </w:tblGrid>
      <w:tr w:rsidR="00407AEE" w:rsidRPr="005E5CE7" w14:paraId="71916C9E" w14:textId="77777777" w:rsidTr="00407AEE">
        <w:tc>
          <w:tcPr>
            <w:tcW w:w="1980" w:type="dxa"/>
            <w:tcBorders>
              <w:top w:val="nil"/>
              <w:left w:val="nil"/>
              <w:right w:val="single" w:sz="4" w:space="0" w:color="auto"/>
            </w:tcBorders>
          </w:tcPr>
          <w:p w14:paraId="6942FFD8" w14:textId="77777777" w:rsidR="005E5CE7" w:rsidRPr="005E5CE7" w:rsidRDefault="005E5CE7">
            <w:pPr>
              <w:rPr>
                <w:sz w:val="18"/>
                <w:szCs w:val="18"/>
              </w:rPr>
            </w:pPr>
          </w:p>
        </w:tc>
        <w:tc>
          <w:tcPr>
            <w:tcW w:w="3969" w:type="dxa"/>
            <w:tcBorders>
              <w:left w:val="single" w:sz="4" w:space="0" w:color="auto"/>
            </w:tcBorders>
          </w:tcPr>
          <w:p w14:paraId="4A5DDFBA" w14:textId="31F3D69B" w:rsidR="005E5CE7" w:rsidRPr="000456CE" w:rsidRDefault="005E5CE7">
            <w:pPr>
              <w:rPr>
                <w:b/>
                <w:bCs/>
                <w:sz w:val="18"/>
                <w:szCs w:val="18"/>
              </w:rPr>
            </w:pPr>
            <w:r w:rsidRPr="000456CE">
              <w:rPr>
                <w:b/>
                <w:bCs/>
                <w:sz w:val="18"/>
                <w:szCs w:val="18"/>
              </w:rPr>
              <w:t>Reducing Health Inequalities</w:t>
            </w:r>
            <w:r w:rsidR="00F62B40" w:rsidRPr="000456CE">
              <w:rPr>
                <w:b/>
                <w:bCs/>
                <w:sz w:val="18"/>
                <w:szCs w:val="18"/>
              </w:rPr>
              <w:t xml:space="preserve"> Framework</w:t>
            </w:r>
          </w:p>
        </w:tc>
        <w:tc>
          <w:tcPr>
            <w:tcW w:w="3969" w:type="dxa"/>
          </w:tcPr>
          <w:p w14:paraId="0E5CCFBF" w14:textId="01F45AB1" w:rsidR="005E5CE7" w:rsidRPr="000456CE" w:rsidRDefault="005E5CE7">
            <w:pPr>
              <w:rPr>
                <w:b/>
                <w:bCs/>
                <w:sz w:val="18"/>
                <w:szCs w:val="18"/>
              </w:rPr>
            </w:pPr>
            <w:r w:rsidRPr="000456CE">
              <w:rPr>
                <w:b/>
                <w:bCs/>
                <w:sz w:val="18"/>
                <w:szCs w:val="18"/>
              </w:rPr>
              <w:t>Health Equity Assessment Tool – User’s Guide</w:t>
            </w:r>
          </w:p>
        </w:tc>
        <w:tc>
          <w:tcPr>
            <w:tcW w:w="3969" w:type="dxa"/>
          </w:tcPr>
          <w:p w14:paraId="199A7874" w14:textId="61383E46" w:rsidR="005E5CE7" w:rsidRPr="000456CE" w:rsidRDefault="00F67613">
            <w:pPr>
              <w:rPr>
                <w:b/>
                <w:bCs/>
                <w:sz w:val="18"/>
                <w:szCs w:val="18"/>
              </w:rPr>
            </w:pPr>
            <w:proofErr w:type="spellStart"/>
            <w:r w:rsidRPr="000456CE">
              <w:rPr>
                <w:b/>
                <w:bCs/>
                <w:sz w:val="18"/>
                <w:szCs w:val="18"/>
              </w:rPr>
              <w:t>Whānau</w:t>
            </w:r>
            <w:proofErr w:type="spellEnd"/>
            <w:r w:rsidR="005E5CE7" w:rsidRPr="000456CE">
              <w:rPr>
                <w:b/>
                <w:bCs/>
                <w:sz w:val="18"/>
                <w:szCs w:val="18"/>
              </w:rPr>
              <w:t xml:space="preserve"> Ora Health Impact Assessment </w:t>
            </w:r>
          </w:p>
        </w:tc>
        <w:tc>
          <w:tcPr>
            <w:tcW w:w="4111" w:type="dxa"/>
          </w:tcPr>
          <w:p w14:paraId="560BB81B" w14:textId="24E02665" w:rsidR="005E5CE7" w:rsidRPr="000456CE" w:rsidRDefault="005E5CE7">
            <w:pPr>
              <w:rPr>
                <w:b/>
                <w:bCs/>
                <w:sz w:val="18"/>
                <w:szCs w:val="18"/>
              </w:rPr>
            </w:pPr>
            <w:r w:rsidRPr="000456CE">
              <w:rPr>
                <w:b/>
                <w:bCs/>
                <w:sz w:val="18"/>
                <w:szCs w:val="18"/>
              </w:rPr>
              <w:t>Equity of Healthcare for Māori: Framework</w:t>
            </w:r>
          </w:p>
        </w:tc>
        <w:tc>
          <w:tcPr>
            <w:tcW w:w="4110" w:type="dxa"/>
          </w:tcPr>
          <w:p w14:paraId="1AA2C5F8" w14:textId="0F4EE6B2" w:rsidR="005E5CE7" w:rsidRPr="000456CE" w:rsidRDefault="005F02D2">
            <w:pPr>
              <w:rPr>
                <w:b/>
                <w:bCs/>
                <w:sz w:val="18"/>
                <w:szCs w:val="18"/>
              </w:rPr>
            </w:pPr>
            <w:r w:rsidRPr="000456CE">
              <w:rPr>
                <w:b/>
                <w:bCs/>
                <w:sz w:val="18"/>
                <w:szCs w:val="18"/>
              </w:rPr>
              <w:t>Central Region DHBs’</w:t>
            </w:r>
            <w:r w:rsidR="005E5CE7" w:rsidRPr="000456CE">
              <w:rPr>
                <w:b/>
                <w:bCs/>
                <w:sz w:val="18"/>
                <w:szCs w:val="18"/>
              </w:rPr>
              <w:t xml:space="preserve"> Equity Framework </w:t>
            </w:r>
          </w:p>
        </w:tc>
      </w:tr>
      <w:tr w:rsidR="00407AEE" w:rsidRPr="005E5CE7" w14:paraId="0BB54A5C" w14:textId="77777777" w:rsidTr="00407AEE">
        <w:trPr>
          <w:trHeight w:val="532"/>
        </w:trPr>
        <w:tc>
          <w:tcPr>
            <w:tcW w:w="1980" w:type="dxa"/>
            <w:tcBorders>
              <w:right w:val="single" w:sz="4" w:space="0" w:color="auto"/>
            </w:tcBorders>
          </w:tcPr>
          <w:p w14:paraId="2CE6A205" w14:textId="1C307A75" w:rsidR="00BB7835" w:rsidRPr="000456CE" w:rsidRDefault="00760F96">
            <w:pPr>
              <w:rPr>
                <w:b/>
                <w:bCs/>
                <w:sz w:val="18"/>
                <w:szCs w:val="18"/>
              </w:rPr>
            </w:pPr>
            <w:r w:rsidRPr="000456CE">
              <w:rPr>
                <w:b/>
                <w:bCs/>
                <w:sz w:val="18"/>
                <w:szCs w:val="18"/>
              </w:rPr>
              <w:t xml:space="preserve">Publication date: </w:t>
            </w:r>
          </w:p>
        </w:tc>
        <w:tc>
          <w:tcPr>
            <w:tcW w:w="3969" w:type="dxa"/>
            <w:tcBorders>
              <w:left w:val="single" w:sz="4" w:space="0" w:color="auto"/>
            </w:tcBorders>
          </w:tcPr>
          <w:p w14:paraId="26E27634" w14:textId="2CE77C53" w:rsidR="00652BD5" w:rsidRPr="005E5CE7" w:rsidRDefault="00BB7835" w:rsidP="000456CE">
            <w:pPr>
              <w:rPr>
                <w:sz w:val="18"/>
                <w:szCs w:val="18"/>
              </w:rPr>
            </w:pPr>
            <w:r>
              <w:rPr>
                <w:sz w:val="18"/>
                <w:szCs w:val="18"/>
              </w:rPr>
              <w:t>2 September 2002</w:t>
            </w:r>
          </w:p>
        </w:tc>
        <w:tc>
          <w:tcPr>
            <w:tcW w:w="3969" w:type="dxa"/>
          </w:tcPr>
          <w:p w14:paraId="58DD814E" w14:textId="68EB2D85" w:rsidR="001A77CB" w:rsidRDefault="00052227" w:rsidP="000456CE">
            <w:pPr>
              <w:rPr>
                <w:sz w:val="18"/>
                <w:szCs w:val="18"/>
              </w:rPr>
            </w:pPr>
            <w:r>
              <w:rPr>
                <w:sz w:val="18"/>
                <w:szCs w:val="18"/>
              </w:rPr>
              <w:t xml:space="preserve">1 July 2008 </w:t>
            </w:r>
          </w:p>
        </w:tc>
        <w:tc>
          <w:tcPr>
            <w:tcW w:w="3969" w:type="dxa"/>
          </w:tcPr>
          <w:p w14:paraId="44B67410" w14:textId="354B39EB" w:rsidR="001A77CB" w:rsidRDefault="001001B9" w:rsidP="000456CE">
            <w:pPr>
              <w:rPr>
                <w:sz w:val="18"/>
                <w:szCs w:val="18"/>
              </w:rPr>
            </w:pPr>
            <w:r>
              <w:rPr>
                <w:sz w:val="18"/>
                <w:szCs w:val="18"/>
              </w:rPr>
              <w:t>April 2007</w:t>
            </w:r>
          </w:p>
        </w:tc>
        <w:tc>
          <w:tcPr>
            <w:tcW w:w="4111" w:type="dxa"/>
          </w:tcPr>
          <w:p w14:paraId="268F64C7" w14:textId="6CCDFC0C" w:rsidR="009B26B3" w:rsidRDefault="0071566F" w:rsidP="000456CE">
            <w:pPr>
              <w:rPr>
                <w:sz w:val="18"/>
                <w:szCs w:val="18"/>
              </w:rPr>
            </w:pPr>
            <w:r>
              <w:rPr>
                <w:sz w:val="18"/>
                <w:szCs w:val="18"/>
              </w:rPr>
              <w:t>20 June 2014</w:t>
            </w:r>
          </w:p>
        </w:tc>
        <w:tc>
          <w:tcPr>
            <w:tcW w:w="4110" w:type="dxa"/>
          </w:tcPr>
          <w:p w14:paraId="6619ED66" w14:textId="0D6F05D4" w:rsidR="009B26B3" w:rsidRDefault="005F02D2" w:rsidP="00A35800">
            <w:pPr>
              <w:rPr>
                <w:sz w:val="18"/>
                <w:szCs w:val="18"/>
              </w:rPr>
            </w:pPr>
            <w:r>
              <w:rPr>
                <w:sz w:val="18"/>
                <w:szCs w:val="18"/>
              </w:rPr>
              <w:t>August 2019</w:t>
            </w:r>
          </w:p>
        </w:tc>
      </w:tr>
      <w:tr w:rsidR="00407AEE" w:rsidRPr="005E5CE7" w14:paraId="1300CE19" w14:textId="77777777" w:rsidTr="00407AEE">
        <w:tc>
          <w:tcPr>
            <w:tcW w:w="1980" w:type="dxa"/>
            <w:tcBorders>
              <w:right w:val="single" w:sz="4" w:space="0" w:color="auto"/>
            </w:tcBorders>
          </w:tcPr>
          <w:p w14:paraId="2AEEB9FF" w14:textId="3853C222" w:rsidR="0071566F" w:rsidRPr="000456CE" w:rsidRDefault="0071566F" w:rsidP="0071566F">
            <w:pPr>
              <w:rPr>
                <w:b/>
                <w:bCs/>
                <w:sz w:val="18"/>
                <w:szCs w:val="18"/>
              </w:rPr>
            </w:pPr>
            <w:r w:rsidRPr="000456CE">
              <w:rPr>
                <w:b/>
                <w:bCs/>
                <w:sz w:val="18"/>
                <w:szCs w:val="18"/>
              </w:rPr>
              <w:t xml:space="preserve">Developed </w:t>
            </w:r>
          </w:p>
        </w:tc>
        <w:tc>
          <w:tcPr>
            <w:tcW w:w="3969" w:type="dxa"/>
            <w:tcBorders>
              <w:left w:val="single" w:sz="4" w:space="0" w:color="auto"/>
            </w:tcBorders>
          </w:tcPr>
          <w:p w14:paraId="5E27F157" w14:textId="77777777" w:rsidR="0071566F" w:rsidRPr="00760F96" w:rsidRDefault="0071566F" w:rsidP="0071566F">
            <w:pPr>
              <w:rPr>
                <w:rFonts w:asciiTheme="majorHAnsi" w:hAnsiTheme="majorHAnsi" w:cstheme="majorHAnsi"/>
                <w:sz w:val="18"/>
                <w:szCs w:val="18"/>
              </w:rPr>
            </w:pPr>
            <w:r w:rsidRPr="00760F96">
              <w:rPr>
                <w:rFonts w:asciiTheme="majorHAnsi" w:hAnsiTheme="majorHAnsi" w:cstheme="majorHAnsi"/>
                <w:sz w:val="18"/>
                <w:szCs w:val="18"/>
              </w:rPr>
              <w:t xml:space="preserve">Project led jointly by the Maori Health and Public Health Policy Groups of the Ministry of Health.  </w:t>
            </w:r>
          </w:p>
          <w:p w14:paraId="09184232" w14:textId="77777777" w:rsidR="0071566F" w:rsidRPr="00760F96" w:rsidRDefault="0071566F" w:rsidP="0071566F">
            <w:pPr>
              <w:rPr>
                <w:rFonts w:asciiTheme="majorHAnsi" w:hAnsiTheme="majorHAnsi" w:cstheme="majorHAnsi"/>
                <w:sz w:val="18"/>
                <w:szCs w:val="18"/>
              </w:rPr>
            </w:pPr>
          </w:p>
          <w:p w14:paraId="2362348B" w14:textId="662A3D08" w:rsidR="0071566F" w:rsidRPr="00760F96" w:rsidRDefault="0071566F" w:rsidP="0071566F">
            <w:pPr>
              <w:rPr>
                <w:rFonts w:asciiTheme="majorHAnsi" w:hAnsiTheme="majorHAnsi" w:cstheme="majorHAnsi"/>
                <w:sz w:val="18"/>
                <w:szCs w:val="18"/>
              </w:rPr>
            </w:pPr>
            <w:r w:rsidRPr="00760F96">
              <w:rPr>
                <w:rFonts w:asciiTheme="majorHAnsi" w:hAnsiTheme="majorHAnsi" w:cstheme="majorHAnsi"/>
                <w:sz w:val="18"/>
                <w:szCs w:val="18"/>
              </w:rPr>
              <w:t xml:space="preserve">Input from the Ministry of Health expert advisory Group: </w:t>
            </w:r>
            <w:proofErr w:type="spellStart"/>
            <w:r w:rsidRPr="00760F96">
              <w:rPr>
                <w:rFonts w:asciiTheme="majorHAnsi" w:hAnsiTheme="majorHAnsi" w:cstheme="majorHAnsi"/>
                <w:sz w:val="18"/>
                <w:szCs w:val="18"/>
              </w:rPr>
              <w:t>Papaarangi</w:t>
            </w:r>
            <w:proofErr w:type="spellEnd"/>
            <w:r w:rsidRPr="00760F96">
              <w:rPr>
                <w:rFonts w:asciiTheme="majorHAnsi" w:hAnsiTheme="majorHAnsi" w:cstheme="majorHAnsi"/>
                <w:sz w:val="18"/>
                <w:szCs w:val="18"/>
              </w:rPr>
              <w:t xml:space="preserve"> Reid, John Broughton, Fiona Cram, Peter Crampton, Jackie Cummings, Chris Cunningham, </w:t>
            </w:r>
            <w:proofErr w:type="spellStart"/>
            <w:r w:rsidRPr="00760F96">
              <w:rPr>
                <w:rFonts w:asciiTheme="majorHAnsi" w:hAnsiTheme="majorHAnsi" w:cstheme="majorHAnsi"/>
                <w:sz w:val="18"/>
                <w:szCs w:val="18"/>
              </w:rPr>
              <w:t>Sitaleki</w:t>
            </w:r>
            <w:proofErr w:type="spellEnd"/>
            <w:r w:rsidRPr="00760F96">
              <w:rPr>
                <w:rFonts w:asciiTheme="majorHAnsi" w:hAnsiTheme="majorHAnsi" w:cstheme="majorHAnsi"/>
                <w:sz w:val="18"/>
                <w:szCs w:val="18"/>
              </w:rPr>
              <w:t xml:space="preserve"> </w:t>
            </w:r>
            <w:proofErr w:type="spellStart"/>
            <w:r w:rsidRPr="00760F96">
              <w:rPr>
                <w:rFonts w:asciiTheme="majorHAnsi" w:hAnsiTheme="majorHAnsi" w:cstheme="majorHAnsi"/>
                <w:sz w:val="18"/>
                <w:szCs w:val="18"/>
              </w:rPr>
              <w:t>Finau</w:t>
            </w:r>
            <w:proofErr w:type="spellEnd"/>
            <w:r w:rsidRPr="00760F96">
              <w:rPr>
                <w:rFonts w:asciiTheme="majorHAnsi" w:hAnsiTheme="majorHAnsi" w:cstheme="majorHAnsi"/>
                <w:sz w:val="18"/>
                <w:szCs w:val="18"/>
              </w:rPr>
              <w:t xml:space="preserve">, Cheryl Hamilton, Phillipa Howden-Chapmen, Cindy </w:t>
            </w:r>
            <w:proofErr w:type="spellStart"/>
            <w:r w:rsidRPr="00760F96">
              <w:rPr>
                <w:rFonts w:asciiTheme="majorHAnsi" w:hAnsiTheme="majorHAnsi" w:cstheme="majorHAnsi"/>
                <w:sz w:val="18"/>
                <w:szCs w:val="18"/>
              </w:rPr>
              <w:t>Kiro</w:t>
            </w:r>
            <w:proofErr w:type="spellEnd"/>
            <w:r w:rsidRPr="00760F96">
              <w:rPr>
                <w:rFonts w:asciiTheme="majorHAnsi" w:hAnsiTheme="majorHAnsi" w:cstheme="majorHAnsi"/>
                <w:sz w:val="18"/>
                <w:szCs w:val="18"/>
              </w:rPr>
              <w:t xml:space="preserve">, Margaret Southwark, Chris Webber. </w:t>
            </w:r>
          </w:p>
        </w:tc>
        <w:tc>
          <w:tcPr>
            <w:tcW w:w="3969" w:type="dxa"/>
          </w:tcPr>
          <w:p w14:paraId="26412DEE" w14:textId="7D22765C" w:rsidR="0071566F" w:rsidRPr="00760F96" w:rsidRDefault="0071566F" w:rsidP="0071566F">
            <w:pPr>
              <w:rPr>
                <w:rFonts w:asciiTheme="majorHAnsi" w:hAnsiTheme="majorHAnsi" w:cstheme="majorHAnsi"/>
                <w:sz w:val="18"/>
                <w:szCs w:val="18"/>
              </w:rPr>
            </w:pPr>
            <w:r w:rsidRPr="00760F96">
              <w:rPr>
                <w:rFonts w:asciiTheme="majorHAnsi" w:hAnsiTheme="majorHAnsi" w:cstheme="majorHAnsi"/>
                <w:sz w:val="18"/>
                <w:szCs w:val="18"/>
              </w:rPr>
              <w:t>The Health Equity Assessment Tool</w:t>
            </w:r>
            <w:r>
              <w:rPr>
                <w:rFonts w:asciiTheme="majorHAnsi" w:hAnsiTheme="majorHAnsi" w:cstheme="majorHAnsi"/>
                <w:sz w:val="18"/>
                <w:szCs w:val="18"/>
              </w:rPr>
              <w:t xml:space="preserve">, </w:t>
            </w:r>
            <w:r w:rsidRPr="00760F96">
              <w:rPr>
                <w:rFonts w:asciiTheme="majorHAnsi" w:hAnsiTheme="majorHAnsi" w:cstheme="majorHAnsi"/>
                <w:sz w:val="18"/>
                <w:szCs w:val="18"/>
              </w:rPr>
              <w:t xml:space="preserve">(first published in May 2004), was used in the training workshops for the sector.  The workshops were delivered by the Maori Health and Public Health Policy Groups of the Ministry of Health, Te </w:t>
            </w:r>
            <w:proofErr w:type="spellStart"/>
            <w:r w:rsidRPr="00760F96">
              <w:rPr>
                <w:rFonts w:asciiTheme="majorHAnsi" w:hAnsiTheme="majorHAnsi" w:cstheme="majorHAnsi"/>
                <w:sz w:val="18"/>
                <w:szCs w:val="18"/>
              </w:rPr>
              <w:t>Roopu</w:t>
            </w:r>
            <w:proofErr w:type="spellEnd"/>
            <w:r w:rsidRPr="00760F96">
              <w:rPr>
                <w:rFonts w:asciiTheme="majorHAnsi" w:hAnsiTheme="majorHAnsi" w:cstheme="majorHAnsi"/>
                <w:sz w:val="18"/>
                <w:szCs w:val="18"/>
              </w:rPr>
              <w:t xml:space="preserve"> </w:t>
            </w:r>
            <w:proofErr w:type="spellStart"/>
            <w:r w:rsidRPr="00760F96">
              <w:rPr>
                <w:rFonts w:asciiTheme="majorHAnsi" w:hAnsiTheme="majorHAnsi" w:cstheme="majorHAnsi"/>
                <w:sz w:val="18"/>
                <w:szCs w:val="18"/>
              </w:rPr>
              <w:t>Rangahau</w:t>
            </w:r>
            <w:proofErr w:type="spellEnd"/>
            <w:r w:rsidRPr="00760F96">
              <w:rPr>
                <w:rFonts w:asciiTheme="majorHAnsi" w:hAnsiTheme="majorHAnsi" w:cstheme="majorHAnsi"/>
                <w:sz w:val="18"/>
                <w:szCs w:val="18"/>
              </w:rPr>
              <w:t xml:space="preserve"> a </w:t>
            </w:r>
            <w:proofErr w:type="spellStart"/>
            <w:r w:rsidRPr="00760F96">
              <w:rPr>
                <w:rFonts w:asciiTheme="majorHAnsi" w:hAnsiTheme="majorHAnsi" w:cstheme="majorHAnsi"/>
                <w:sz w:val="18"/>
                <w:szCs w:val="18"/>
              </w:rPr>
              <w:t>Erū</w:t>
            </w:r>
            <w:proofErr w:type="spellEnd"/>
            <w:r w:rsidRPr="00760F96">
              <w:rPr>
                <w:rFonts w:asciiTheme="majorHAnsi" w:hAnsiTheme="majorHAnsi" w:cstheme="majorHAnsi"/>
                <w:sz w:val="18"/>
                <w:szCs w:val="18"/>
              </w:rPr>
              <w:t xml:space="preserve"> </w:t>
            </w:r>
            <w:proofErr w:type="spellStart"/>
            <w:r w:rsidRPr="00760F96">
              <w:rPr>
                <w:rFonts w:asciiTheme="majorHAnsi" w:hAnsiTheme="majorHAnsi" w:cstheme="majorHAnsi"/>
                <w:sz w:val="18"/>
                <w:szCs w:val="18"/>
              </w:rPr>
              <w:t>Pomare</w:t>
            </w:r>
            <w:proofErr w:type="spellEnd"/>
            <w:r w:rsidRPr="00760F96">
              <w:rPr>
                <w:rFonts w:asciiTheme="majorHAnsi" w:hAnsiTheme="majorHAnsi" w:cstheme="majorHAnsi"/>
                <w:sz w:val="18"/>
                <w:szCs w:val="18"/>
              </w:rPr>
              <w:t xml:space="preserve"> and the Public Health Consultancy. </w:t>
            </w:r>
          </w:p>
          <w:p w14:paraId="6FB0B11B" w14:textId="47286AFE" w:rsidR="0071566F" w:rsidRPr="00760F96" w:rsidRDefault="0071566F" w:rsidP="0071566F">
            <w:pPr>
              <w:rPr>
                <w:rFonts w:asciiTheme="majorHAnsi" w:hAnsiTheme="majorHAnsi" w:cstheme="majorHAnsi"/>
                <w:sz w:val="18"/>
                <w:szCs w:val="18"/>
              </w:rPr>
            </w:pPr>
          </w:p>
          <w:p w14:paraId="12917EEE" w14:textId="085C015D" w:rsidR="0071566F" w:rsidRPr="00760F96" w:rsidRDefault="0071566F" w:rsidP="0071566F">
            <w:pPr>
              <w:rPr>
                <w:rFonts w:asciiTheme="majorHAnsi" w:hAnsiTheme="majorHAnsi" w:cstheme="majorHAnsi"/>
                <w:sz w:val="18"/>
                <w:szCs w:val="18"/>
              </w:rPr>
            </w:pPr>
            <w:r w:rsidRPr="00760F96">
              <w:rPr>
                <w:rFonts w:asciiTheme="majorHAnsi" w:hAnsiTheme="majorHAnsi" w:cstheme="majorHAnsi"/>
                <w:sz w:val="18"/>
                <w:szCs w:val="18"/>
              </w:rPr>
              <w:t xml:space="preserve">Source: Te </w:t>
            </w:r>
            <w:proofErr w:type="spellStart"/>
            <w:r w:rsidRPr="00760F96">
              <w:rPr>
                <w:rFonts w:asciiTheme="majorHAnsi" w:hAnsiTheme="majorHAnsi" w:cstheme="majorHAnsi"/>
                <w:sz w:val="18"/>
                <w:szCs w:val="18"/>
              </w:rPr>
              <w:t>Roopu</w:t>
            </w:r>
            <w:proofErr w:type="spellEnd"/>
            <w:r w:rsidRPr="00760F96">
              <w:rPr>
                <w:rFonts w:asciiTheme="majorHAnsi" w:hAnsiTheme="majorHAnsi" w:cstheme="majorHAnsi"/>
                <w:sz w:val="18"/>
                <w:szCs w:val="18"/>
              </w:rPr>
              <w:t xml:space="preserve"> </w:t>
            </w:r>
            <w:proofErr w:type="spellStart"/>
            <w:r w:rsidRPr="00760F96">
              <w:rPr>
                <w:rFonts w:asciiTheme="majorHAnsi" w:hAnsiTheme="majorHAnsi" w:cstheme="majorHAnsi"/>
                <w:sz w:val="18"/>
                <w:szCs w:val="18"/>
              </w:rPr>
              <w:t>Rangahau</w:t>
            </w:r>
            <w:proofErr w:type="spellEnd"/>
            <w:r w:rsidRPr="00760F96">
              <w:rPr>
                <w:rFonts w:asciiTheme="majorHAnsi" w:hAnsiTheme="majorHAnsi" w:cstheme="majorHAnsi"/>
                <w:sz w:val="18"/>
                <w:szCs w:val="18"/>
              </w:rPr>
              <w:t xml:space="preserve"> a </w:t>
            </w:r>
            <w:proofErr w:type="spellStart"/>
            <w:r w:rsidRPr="00760F96">
              <w:rPr>
                <w:rFonts w:asciiTheme="majorHAnsi" w:hAnsiTheme="majorHAnsi" w:cstheme="majorHAnsi"/>
                <w:sz w:val="18"/>
                <w:szCs w:val="18"/>
              </w:rPr>
              <w:t>Erū</w:t>
            </w:r>
            <w:proofErr w:type="spellEnd"/>
            <w:r w:rsidRPr="00760F96">
              <w:rPr>
                <w:rFonts w:asciiTheme="majorHAnsi" w:hAnsiTheme="majorHAnsi" w:cstheme="majorHAnsi"/>
                <w:sz w:val="18"/>
                <w:szCs w:val="18"/>
              </w:rPr>
              <w:t xml:space="preserve"> </w:t>
            </w:r>
            <w:proofErr w:type="spellStart"/>
            <w:r w:rsidRPr="00760F96">
              <w:rPr>
                <w:rFonts w:asciiTheme="majorHAnsi" w:hAnsiTheme="majorHAnsi" w:cstheme="majorHAnsi"/>
                <w:sz w:val="18"/>
                <w:szCs w:val="18"/>
              </w:rPr>
              <w:t>Pomare</w:t>
            </w:r>
            <w:proofErr w:type="spellEnd"/>
            <w:r w:rsidRPr="00760F96">
              <w:rPr>
                <w:rFonts w:asciiTheme="majorHAnsi" w:hAnsiTheme="majorHAnsi" w:cstheme="majorHAnsi"/>
                <w:sz w:val="18"/>
                <w:szCs w:val="18"/>
              </w:rPr>
              <w:t xml:space="preserve">, Ministry of Health and Public Health Consultancy 2003. </w:t>
            </w:r>
          </w:p>
          <w:p w14:paraId="2DBDB2BA" w14:textId="4CACF58C" w:rsidR="0071566F" w:rsidRPr="00760F96" w:rsidRDefault="0071566F" w:rsidP="0071566F">
            <w:pPr>
              <w:rPr>
                <w:rFonts w:asciiTheme="majorHAnsi" w:hAnsiTheme="majorHAnsi" w:cstheme="majorHAnsi"/>
                <w:sz w:val="18"/>
                <w:szCs w:val="18"/>
              </w:rPr>
            </w:pPr>
          </w:p>
          <w:p w14:paraId="09868839" w14:textId="69C9B356" w:rsidR="0071566F" w:rsidRPr="00760F96" w:rsidRDefault="0071566F" w:rsidP="000456CE">
            <w:pPr>
              <w:rPr>
                <w:rFonts w:asciiTheme="majorHAnsi" w:hAnsiTheme="majorHAnsi" w:cstheme="majorHAnsi"/>
                <w:sz w:val="18"/>
                <w:szCs w:val="18"/>
              </w:rPr>
            </w:pPr>
            <w:r w:rsidRPr="00760F96">
              <w:rPr>
                <w:rFonts w:asciiTheme="majorHAnsi" w:hAnsiTheme="majorHAnsi" w:cstheme="majorHAnsi"/>
                <w:sz w:val="18"/>
                <w:szCs w:val="18"/>
              </w:rPr>
              <w:t xml:space="preserve">The User Guide was commissioned by the Ministry of Health and developed by Louise Signal, Fiona Cram and Bridget Robson in 2008. </w:t>
            </w:r>
          </w:p>
        </w:tc>
        <w:tc>
          <w:tcPr>
            <w:tcW w:w="3969" w:type="dxa"/>
          </w:tcPr>
          <w:p w14:paraId="463FCC09" w14:textId="18195E8B" w:rsidR="0071566F" w:rsidRPr="00760F96" w:rsidRDefault="0071566F" w:rsidP="0071566F">
            <w:pPr>
              <w:rPr>
                <w:rFonts w:asciiTheme="majorHAnsi" w:hAnsiTheme="majorHAnsi" w:cstheme="majorHAnsi"/>
                <w:sz w:val="18"/>
                <w:szCs w:val="18"/>
              </w:rPr>
            </w:pPr>
            <w:r w:rsidRPr="00760F96">
              <w:rPr>
                <w:rFonts w:asciiTheme="majorHAnsi" w:hAnsiTheme="majorHAnsi" w:cstheme="majorHAnsi"/>
                <w:sz w:val="18"/>
                <w:szCs w:val="18"/>
              </w:rPr>
              <w:t xml:space="preserve">Published by the Ministry of Health it is a formal approach to predict the likely health impacts of a policy on Māori and their whanau.  Māori participation in the development process is a focus of the </w:t>
            </w:r>
            <w:r>
              <w:rPr>
                <w:rFonts w:asciiTheme="majorHAnsi" w:hAnsiTheme="majorHAnsi" w:cstheme="majorHAnsi"/>
                <w:sz w:val="18"/>
                <w:szCs w:val="18"/>
              </w:rPr>
              <w:t>tool. It also</w:t>
            </w:r>
            <w:r w:rsidRPr="00760F96">
              <w:rPr>
                <w:rFonts w:asciiTheme="majorHAnsi" w:hAnsiTheme="majorHAnsi" w:cstheme="majorHAnsi"/>
                <w:sz w:val="18"/>
                <w:szCs w:val="18"/>
              </w:rPr>
              <w:t xml:space="preserve"> identifies the role of the wider social determinants</w:t>
            </w:r>
            <w:r>
              <w:rPr>
                <w:rFonts w:asciiTheme="majorHAnsi" w:hAnsiTheme="majorHAnsi" w:cstheme="majorHAnsi"/>
                <w:sz w:val="18"/>
                <w:szCs w:val="18"/>
              </w:rPr>
              <w:t>.</w:t>
            </w:r>
            <w:r w:rsidRPr="00760F96">
              <w:rPr>
                <w:rFonts w:asciiTheme="majorHAnsi" w:hAnsiTheme="majorHAnsi" w:cstheme="majorHAnsi"/>
                <w:sz w:val="18"/>
                <w:szCs w:val="18"/>
              </w:rPr>
              <w:t xml:space="preserve">  </w:t>
            </w:r>
          </w:p>
          <w:p w14:paraId="7EAFEBA9" w14:textId="77777777" w:rsidR="0071566F" w:rsidRPr="00760F96" w:rsidRDefault="0071566F" w:rsidP="0071566F">
            <w:pPr>
              <w:rPr>
                <w:rFonts w:asciiTheme="majorHAnsi" w:hAnsiTheme="majorHAnsi" w:cstheme="majorHAnsi"/>
                <w:sz w:val="18"/>
                <w:szCs w:val="18"/>
              </w:rPr>
            </w:pPr>
          </w:p>
          <w:p w14:paraId="4D4C051C" w14:textId="235054E8" w:rsidR="0071566F" w:rsidRDefault="0071566F" w:rsidP="0071566F">
            <w:pPr>
              <w:rPr>
                <w:rFonts w:asciiTheme="majorHAnsi" w:hAnsiTheme="majorHAnsi" w:cstheme="majorHAnsi"/>
                <w:sz w:val="18"/>
                <w:szCs w:val="18"/>
              </w:rPr>
            </w:pPr>
            <w:r w:rsidRPr="00760F96">
              <w:rPr>
                <w:rFonts w:asciiTheme="majorHAnsi" w:hAnsiTheme="majorHAnsi" w:cstheme="majorHAnsi"/>
                <w:sz w:val="18"/>
                <w:szCs w:val="18"/>
              </w:rPr>
              <w:t xml:space="preserve">Developed with input from and external advisory group, an internal Ministry of Health advisory group, participants of </w:t>
            </w:r>
            <w:r w:rsidR="00857AD3">
              <w:rPr>
                <w:rFonts w:asciiTheme="majorHAnsi" w:hAnsiTheme="majorHAnsi" w:cstheme="majorHAnsi"/>
                <w:sz w:val="18"/>
                <w:szCs w:val="18"/>
              </w:rPr>
              <w:t>“</w:t>
            </w:r>
            <w:r w:rsidRPr="00760F96">
              <w:rPr>
                <w:rFonts w:asciiTheme="majorHAnsi" w:hAnsiTheme="majorHAnsi" w:cstheme="majorHAnsi"/>
                <w:sz w:val="18"/>
                <w:szCs w:val="18"/>
              </w:rPr>
              <w:t xml:space="preserve">An Evaluation of the </w:t>
            </w:r>
            <w:proofErr w:type="spellStart"/>
            <w:r w:rsidR="00F67613" w:rsidRPr="00760F96">
              <w:rPr>
                <w:rFonts w:asciiTheme="majorHAnsi" w:hAnsiTheme="majorHAnsi" w:cstheme="majorHAnsi"/>
                <w:sz w:val="18"/>
                <w:szCs w:val="18"/>
              </w:rPr>
              <w:t>Whānau</w:t>
            </w:r>
            <w:proofErr w:type="spellEnd"/>
            <w:r w:rsidRPr="00760F96">
              <w:rPr>
                <w:rFonts w:asciiTheme="majorHAnsi" w:hAnsiTheme="majorHAnsi" w:cstheme="majorHAnsi"/>
                <w:sz w:val="18"/>
                <w:szCs w:val="18"/>
              </w:rPr>
              <w:t xml:space="preserve"> Ora HIA Assessment Guide</w:t>
            </w:r>
            <w:r w:rsidR="00857AD3">
              <w:rPr>
                <w:rFonts w:asciiTheme="majorHAnsi" w:hAnsiTheme="majorHAnsi" w:cstheme="majorHAnsi"/>
                <w:sz w:val="18"/>
                <w:szCs w:val="18"/>
              </w:rPr>
              <w:t xml:space="preserve">” </w:t>
            </w:r>
            <w:r w:rsidRPr="00760F96">
              <w:rPr>
                <w:rFonts w:asciiTheme="majorHAnsi" w:hAnsiTheme="majorHAnsi" w:cstheme="majorHAnsi"/>
                <w:sz w:val="18"/>
                <w:szCs w:val="18"/>
              </w:rPr>
              <w:t xml:space="preserve"> </w:t>
            </w:r>
          </w:p>
          <w:p w14:paraId="03592E6A" w14:textId="77777777" w:rsidR="00857AD3" w:rsidRDefault="00857AD3" w:rsidP="0071566F">
            <w:pPr>
              <w:rPr>
                <w:rFonts w:asciiTheme="majorHAnsi" w:hAnsiTheme="majorHAnsi" w:cstheme="majorHAnsi"/>
                <w:sz w:val="18"/>
                <w:szCs w:val="18"/>
              </w:rPr>
            </w:pPr>
          </w:p>
          <w:p w14:paraId="0924B060" w14:textId="428EEA20" w:rsidR="00857AD3" w:rsidRPr="00760F96" w:rsidRDefault="00857AD3" w:rsidP="0071566F">
            <w:pPr>
              <w:rPr>
                <w:rFonts w:asciiTheme="majorHAnsi" w:hAnsiTheme="majorHAnsi" w:cstheme="majorHAnsi"/>
                <w:sz w:val="18"/>
                <w:szCs w:val="18"/>
              </w:rPr>
            </w:pPr>
            <w:r>
              <w:rPr>
                <w:rFonts w:asciiTheme="majorHAnsi" w:hAnsiTheme="majorHAnsi" w:cstheme="majorHAnsi"/>
                <w:sz w:val="18"/>
                <w:szCs w:val="18"/>
              </w:rPr>
              <w:t xml:space="preserve">The names of the individuals involved in the cited groups above are included in the document. </w:t>
            </w:r>
          </w:p>
        </w:tc>
        <w:tc>
          <w:tcPr>
            <w:tcW w:w="4111" w:type="dxa"/>
          </w:tcPr>
          <w:p w14:paraId="3AE371B5" w14:textId="7FB89BFF" w:rsidR="0071566F" w:rsidRDefault="0071566F" w:rsidP="0071566F">
            <w:pPr>
              <w:rPr>
                <w:rFonts w:asciiTheme="majorHAnsi" w:hAnsiTheme="majorHAnsi" w:cstheme="majorHAnsi"/>
                <w:sz w:val="18"/>
                <w:szCs w:val="18"/>
              </w:rPr>
            </w:pPr>
            <w:r w:rsidRPr="0071566F">
              <w:rPr>
                <w:rFonts w:asciiTheme="majorHAnsi" w:hAnsiTheme="majorHAnsi" w:cstheme="majorHAnsi"/>
                <w:sz w:val="18"/>
                <w:szCs w:val="18"/>
              </w:rPr>
              <w:t xml:space="preserve">The framework is based on literature available at the time in the quality improvement </w:t>
            </w:r>
            <w:r>
              <w:rPr>
                <w:rFonts w:asciiTheme="majorHAnsi" w:hAnsiTheme="majorHAnsi" w:cstheme="majorHAnsi"/>
                <w:sz w:val="18"/>
                <w:szCs w:val="18"/>
              </w:rPr>
              <w:t xml:space="preserve">field </w:t>
            </w:r>
            <w:r w:rsidRPr="0071566F">
              <w:rPr>
                <w:rFonts w:asciiTheme="majorHAnsi" w:hAnsiTheme="majorHAnsi" w:cstheme="majorHAnsi"/>
                <w:sz w:val="18"/>
                <w:szCs w:val="18"/>
              </w:rPr>
              <w:t>and research on improving ac</w:t>
            </w:r>
            <w:r>
              <w:rPr>
                <w:rFonts w:asciiTheme="majorHAnsi" w:hAnsiTheme="majorHAnsi" w:cstheme="majorHAnsi"/>
                <w:sz w:val="18"/>
                <w:szCs w:val="18"/>
              </w:rPr>
              <w:t xml:space="preserve">cess to health services for Māori, indigenous people and minority ethnic groups. </w:t>
            </w:r>
          </w:p>
          <w:p w14:paraId="731F4F54" w14:textId="13332F45" w:rsidR="0071566F" w:rsidRDefault="0071566F" w:rsidP="0071566F">
            <w:pPr>
              <w:rPr>
                <w:rFonts w:asciiTheme="majorHAnsi" w:hAnsiTheme="majorHAnsi" w:cstheme="majorHAnsi"/>
                <w:sz w:val="18"/>
                <w:szCs w:val="18"/>
              </w:rPr>
            </w:pPr>
          </w:p>
          <w:p w14:paraId="2DA93752" w14:textId="458B8CD1" w:rsidR="0071566F" w:rsidRDefault="0071566F" w:rsidP="0071566F">
            <w:pPr>
              <w:rPr>
                <w:rFonts w:asciiTheme="majorHAnsi" w:hAnsiTheme="majorHAnsi" w:cstheme="majorHAnsi"/>
                <w:sz w:val="18"/>
                <w:szCs w:val="18"/>
              </w:rPr>
            </w:pPr>
            <w:r>
              <w:rPr>
                <w:rFonts w:asciiTheme="majorHAnsi" w:hAnsiTheme="majorHAnsi" w:cstheme="majorHAnsi"/>
                <w:sz w:val="18"/>
                <w:szCs w:val="18"/>
              </w:rPr>
              <w:t xml:space="preserve">The research was commissioned by the Research and Evaluation Group in in Te </w:t>
            </w:r>
            <w:proofErr w:type="spellStart"/>
            <w:r>
              <w:rPr>
                <w:rFonts w:asciiTheme="majorHAnsi" w:hAnsiTheme="majorHAnsi" w:cstheme="majorHAnsi"/>
                <w:sz w:val="18"/>
                <w:szCs w:val="18"/>
              </w:rPr>
              <w:t>Kete</w:t>
            </w:r>
            <w:proofErr w:type="spellEnd"/>
            <w:r>
              <w:rPr>
                <w:rFonts w:asciiTheme="majorHAnsi" w:hAnsiTheme="majorHAnsi" w:cstheme="majorHAnsi"/>
                <w:sz w:val="18"/>
                <w:szCs w:val="18"/>
              </w:rPr>
              <w:t xml:space="preserve"> Hauora of the Ministry of Health and undertaken by Dr Fiona Cram (Katoa Ltd and focussed on diabetes, cancer and cardiovascular </w:t>
            </w:r>
            <w:r w:rsidR="00D13011">
              <w:rPr>
                <w:rFonts w:asciiTheme="majorHAnsi" w:hAnsiTheme="majorHAnsi" w:cstheme="majorHAnsi"/>
                <w:sz w:val="18"/>
                <w:szCs w:val="18"/>
              </w:rPr>
              <w:t xml:space="preserve">services, areas of high morbidity and mortality for Māori. </w:t>
            </w:r>
          </w:p>
          <w:p w14:paraId="15A613AE" w14:textId="77777777" w:rsidR="00D13011" w:rsidRDefault="00D13011" w:rsidP="0071566F">
            <w:pPr>
              <w:rPr>
                <w:rFonts w:asciiTheme="majorHAnsi" w:hAnsiTheme="majorHAnsi" w:cstheme="majorHAnsi"/>
                <w:sz w:val="18"/>
                <w:szCs w:val="18"/>
              </w:rPr>
            </w:pPr>
          </w:p>
          <w:p w14:paraId="5F7451CF" w14:textId="77777777" w:rsidR="0071566F" w:rsidRDefault="0071566F" w:rsidP="0071566F">
            <w:pPr>
              <w:rPr>
                <w:rFonts w:asciiTheme="majorHAnsi" w:hAnsiTheme="majorHAnsi" w:cstheme="majorHAnsi"/>
                <w:sz w:val="18"/>
                <w:szCs w:val="18"/>
              </w:rPr>
            </w:pPr>
          </w:p>
          <w:p w14:paraId="5F8F1928" w14:textId="428E12CE" w:rsidR="0071566F" w:rsidRPr="0071566F" w:rsidRDefault="0071566F" w:rsidP="0071566F">
            <w:pPr>
              <w:rPr>
                <w:rFonts w:asciiTheme="majorHAnsi" w:hAnsiTheme="majorHAnsi" w:cstheme="majorHAnsi"/>
                <w:sz w:val="18"/>
                <w:szCs w:val="18"/>
              </w:rPr>
            </w:pPr>
          </w:p>
        </w:tc>
        <w:tc>
          <w:tcPr>
            <w:tcW w:w="4110" w:type="dxa"/>
          </w:tcPr>
          <w:p w14:paraId="280E5A62" w14:textId="35442CB8" w:rsidR="0071566F" w:rsidRDefault="0030526C" w:rsidP="0071566F">
            <w:pPr>
              <w:rPr>
                <w:sz w:val="18"/>
                <w:szCs w:val="18"/>
              </w:rPr>
            </w:pPr>
            <w:r>
              <w:rPr>
                <w:sz w:val="18"/>
                <w:szCs w:val="18"/>
              </w:rPr>
              <w:t xml:space="preserve">Commissioned by TAS Technical Advisory Service for DHBs, work undertaken by Wall Consultants Ltd. </w:t>
            </w:r>
          </w:p>
          <w:p w14:paraId="13745162" w14:textId="7062DB77" w:rsidR="0030526C" w:rsidRDefault="0030526C" w:rsidP="0071566F">
            <w:pPr>
              <w:rPr>
                <w:sz w:val="18"/>
                <w:szCs w:val="18"/>
              </w:rPr>
            </w:pPr>
          </w:p>
          <w:p w14:paraId="1B8A4D48" w14:textId="009352AF" w:rsidR="0030526C" w:rsidRDefault="0030526C" w:rsidP="0071566F">
            <w:pPr>
              <w:rPr>
                <w:sz w:val="18"/>
                <w:szCs w:val="18"/>
              </w:rPr>
            </w:pPr>
            <w:r>
              <w:rPr>
                <w:sz w:val="18"/>
                <w:szCs w:val="18"/>
              </w:rPr>
              <w:t xml:space="preserve">Developed with input from Central Region DHB Chief Executives, COOs, GMs Maori, Pacific and Funding and Planning, and Clinicians. </w:t>
            </w:r>
          </w:p>
          <w:p w14:paraId="3AAFC0CB" w14:textId="77777777" w:rsidR="0030526C" w:rsidRDefault="0030526C" w:rsidP="0071566F">
            <w:pPr>
              <w:rPr>
                <w:sz w:val="18"/>
                <w:szCs w:val="18"/>
              </w:rPr>
            </w:pPr>
          </w:p>
          <w:p w14:paraId="0FC4FBE9" w14:textId="213E3025" w:rsidR="0030526C" w:rsidRDefault="00D247B2" w:rsidP="000456CE">
            <w:pPr>
              <w:rPr>
                <w:sz w:val="18"/>
                <w:szCs w:val="18"/>
              </w:rPr>
            </w:pPr>
            <w:r>
              <w:rPr>
                <w:sz w:val="18"/>
                <w:szCs w:val="18"/>
              </w:rPr>
              <w:t xml:space="preserve">The Framework uses the three action areas of leadership, knowledge and commitment mapped against the roles and responsibilities of funders and planners and clinicians using a Commissioning Framework – adapted from “Planning in a Commissioning Environment – A Guide” developed by the Australian Government Department of Health and </w:t>
            </w:r>
            <w:proofErr w:type="spellStart"/>
            <w:r>
              <w:rPr>
                <w:sz w:val="18"/>
                <w:szCs w:val="18"/>
              </w:rPr>
              <w:t>Pricewaterhouse</w:t>
            </w:r>
            <w:proofErr w:type="spellEnd"/>
            <w:r>
              <w:rPr>
                <w:sz w:val="18"/>
                <w:szCs w:val="18"/>
              </w:rPr>
              <w:t xml:space="preserve"> Coopers (PwC) 2016. </w:t>
            </w:r>
          </w:p>
        </w:tc>
      </w:tr>
      <w:tr w:rsidR="00407AEE" w:rsidRPr="005E5CE7" w14:paraId="1189F175" w14:textId="77777777" w:rsidTr="00407AEE">
        <w:tc>
          <w:tcPr>
            <w:tcW w:w="1980" w:type="dxa"/>
            <w:tcBorders>
              <w:right w:val="single" w:sz="4" w:space="0" w:color="auto"/>
            </w:tcBorders>
          </w:tcPr>
          <w:p w14:paraId="7E9959F3" w14:textId="4975D462" w:rsidR="00D13011" w:rsidRPr="000456CE" w:rsidRDefault="00D13011" w:rsidP="00D13011">
            <w:pPr>
              <w:rPr>
                <w:b/>
                <w:bCs/>
                <w:sz w:val="18"/>
                <w:szCs w:val="18"/>
              </w:rPr>
            </w:pPr>
            <w:r w:rsidRPr="000456CE">
              <w:rPr>
                <w:b/>
                <w:bCs/>
                <w:sz w:val="18"/>
                <w:szCs w:val="18"/>
              </w:rPr>
              <w:t xml:space="preserve">Origins </w:t>
            </w:r>
          </w:p>
        </w:tc>
        <w:tc>
          <w:tcPr>
            <w:tcW w:w="3969" w:type="dxa"/>
            <w:tcBorders>
              <w:left w:val="single" w:sz="4" w:space="0" w:color="auto"/>
            </w:tcBorders>
          </w:tcPr>
          <w:p w14:paraId="392A64A7" w14:textId="7584A7B3" w:rsidR="00D13011" w:rsidRPr="00760F96" w:rsidRDefault="00D13011" w:rsidP="00D13011">
            <w:pPr>
              <w:rPr>
                <w:rFonts w:asciiTheme="majorHAnsi" w:hAnsiTheme="majorHAnsi" w:cstheme="majorHAnsi"/>
                <w:sz w:val="18"/>
                <w:szCs w:val="18"/>
              </w:rPr>
            </w:pPr>
            <w:r w:rsidRPr="00760F96">
              <w:rPr>
                <w:rFonts w:asciiTheme="majorHAnsi" w:hAnsiTheme="majorHAnsi" w:cstheme="majorHAnsi"/>
                <w:sz w:val="18"/>
                <w:szCs w:val="18"/>
              </w:rPr>
              <w:t xml:space="preserve">Builds on </w:t>
            </w:r>
            <w:proofErr w:type="spellStart"/>
            <w:r w:rsidRPr="00760F96">
              <w:rPr>
                <w:rFonts w:asciiTheme="majorHAnsi" w:hAnsiTheme="majorHAnsi" w:cstheme="majorHAnsi"/>
                <w:sz w:val="18"/>
                <w:szCs w:val="18"/>
              </w:rPr>
              <w:t>Mackenbach’s</w:t>
            </w:r>
            <w:proofErr w:type="spellEnd"/>
            <w:r w:rsidRPr="00760F96">
              <w:rPr>
                <w:rFonts w:asciiTheme="majorHAnsi" w:hAnsiTheme="majorHAnsi" w:cstheme="majorHAnsi"/>
                <w:sz w:val="18"/>
                <w:szCs w:val="18"/>
              </w:rPr>
              <w:t xml:space="preserve"> intervention framework (cited in National Advisor Committee on Health and Disability 1998): </w:t>
            </w:r>
          </w:p>
          <w:p w14:paraId="5FF77FA4" w14:textId="77777777" w:rsidR="00D13011" w:rsidRPr="00760F96" w:rsidRDefault="00D13011" w:rsidP="00D13011">
            <w:pPr>
              <w:rPr>
                <w:rFonts w:asciiTheme="majorHAnsi" w:hAnsiTheme="majorHAnsi" w:cstheme="majorHAnsi"/>
                <w:sz w:val="18"/>
                <w:szCs w:val="18"/>
              </w:rPr>
            </w:pPr>
            <w:r w:rsidRPr="00760F96">
              <w:rPr>
                <w:rFonts w:asciiTheme="majorHAnsi" w:hAnsiTheme="majorHAnsi" w:cstheme="majorHAnsi"/>
                <w:sz w:val="18"/>
                <w:szCs w:val="18"/>
              </w:rPr>
              <w:t xml:space="preserve"> 1. Socioeconomic status,</w:t>
            </w:r>
          </w:p>
          <w:p w14:paraId="4A923755" w14:textId="77777777" w:rsidR="00D13011" w:rsidRPr="00760F96" w:rsidRDefault="00D13011" w:rsidP="00D13011">
            <w:pPr>
              <w:rPr>
                <w:rFonts w:asciiTheme="majorHAnsi" w:hAnsiTheme="majorHAnsi" w:cstheme="majorHAnsi"/>
                <w:sz w:val="18"/>
                <w:szCs w:val="18"/>
              </w:rPr>
            </w:pPr>
            <w:r w:rsidRPr="00760F96">
              <w:rPr>
                <w:rFonts w:asciiTheme="majorHAnsi" w:hAnsiTheme="majorHAnsi" w:cstheme="majorHAnsi"/>
                <w:sz w:val="18"/>
                <w:szCs w:val="18"/>
              </w:rPr>
              <w:t xml:space="preserve"> 2. Intermediary factors, </w:t>
            </w:r>
          </w:p>
          <w:p w14:paraId="5A521B06" w14:textId="27823E06" w:rsidR="00D13011" w:rsidRPr="00760F96" w:rsidRDefault="00D13011" w:rsidP="00D13011">
            <w:pPr>
              <w:rPr>
                <w:rFonts w:asciiTheme="majorHAnsi" w:hAnsiTheme="majorHAnsi" w:cstheme="majorHAnsi"/>
                <w:sz w:val="18"/>
                <w:szCs w:val="18"/>
              </w:rPr>
            </w:pPr>
            <w:r w:rsidRPr="00760F96">
              <w:rPr>
                <w:rFonts w:asciiTheme="majorHAnsi" w:hAnsiTheme="majorHAnsi" w:cstheme="majorHAnsi"/>
                <w:sz w:val="18"/>
                <w:szCs w:val="18"/>
              </w:rPr>
              <w:t>3. Health problems,</w:t>
            </w:r>
          </w:p>
          <w:p w14:paraId="5C1CAF4B" w14:textId="0AD69720" w:rsidR="00D13011" w:rsidRPr="00760F96" w:rsidRDefault="00D13011" w:rsidP="00D13011">
            <w:pPr>
              <w:rPr>
                <w:rFonts w:asciiTheme="majorHAnsi" w:hAnsiTheme="majorHAnsi" w:cstheme="majorHAnsi"/>
                <w:sz w:val="18"/>
                <w:szCs w:val="18"/>
              </w:rPr>
            </w:pPr>
            <w:r w:rsidRPr="00760F96">
              <w:rPr>
                <w:rFonts w:asciiTheme="majorHAnsi" w:hAnsiTheme="majorHAnsi" w:cstheme="majorHAnsi"/>
                <w:sz w:val="18"/>
                <w:szCs w:val="18"/>
              </w:rPr>
              <w:t xml:space="preserve"> 4. Feedback effect. </w:t>
            </w:r>
          </w:p>
        </w:tc>
        <w:tc>
          <w:tcPr>
            <w:tcW w:w="3969" w:type="dxa"/>
          </w:tcPr>
          <w:p w14:paraId="68BD9CFF" w14:textId="6665002D" w:rsidR="00D13011" w:rsidRPr="00760F96" w:rsidRDefault="00D13011" w:rsidP="00D13011">
            <w:pPr>
              <w:rPr>
                <w:rFonts w:asciiTheme="majorHAnsi" w:hAnsiTheme="majorHAnsi" w:cstheme="majorHAnsi"/>
                <w:sz w:val="18"/>
                <w:szCs w:val="18"/>
              </w:rPr>
            </w:pPr>
            <w:r w:rsidRPr="00760F96">
              <w:rPr>
                <w:rFonts w:asciiTheme="majorHAnsi" w:hAnsiTheme="majorHAnsi" w:cstheme="majorHAnsi"/>
                <w:sz w:val="18"/>
                <w:szCs w:val="18"/>
              </w:rPr>
              <w:t xml:space="preserve">The tool was adapted from Bro Taf Authority, 2000. Planning for Positive Impact: Health inequalities impact assessment tool. Cardiff: Bro Taf Authority.  </w:t>
            </w:r>
          </w:p>
          <w:p w14:paraId="33390AE4" w14:textId="77777777" w:rsidR="00D13011" w:rsidRPr="00760F96" w:rsidRDefault="00D13011" w:rsidP="00D13011">
            <w:pPr>
              <w:rPr>
                <w:rFonts w:asciiTheme="majorHAnsi" w:hAnsiTheme="majorHAnsi" w:cstheme="majorHAnsi"/>
                <w:sz w:val="18"/>
                <w:szCs w:val="18"/>
              </w:rPr>
            </w:pPr>
          </w:p>
          <w:p w14:paraId="537DBF5D" w14:textId="0DB747B6" w:rsidR="00D13011" w:rsidRPr="00760F96" w:rsidRDefault="00D13011" w:rsidP="00D13011">
            <w:pPr>
              <w:rPr>
                <w:rFonts w:asciiTheme="majorHAnsi" w:hAnsiTheme="majorHAnsi" w:cstheme="majorHAnsi"/>
                <w:sz w:val="18"/>
                <w:szCs w:val="18"/>
              </w:rPr>
            </w:pPr>
          </w:p>
        </w:tc>
        <w:tc>
          <w:tcPr>
            <w:tcW w:w="3969" w:type="dxa"/>
          </w:tcPr>
          <w:p w14:paraId="1A233AF0" w14:textId="18AD71CA" w:rsidR="00D13011" w:rsidRPr="00760F96" w:rsidRDefault="00D13011" w:rsidP="00D13011">
            <w:pPr>
              <w:rPr>
                <w:rFonts w:asciiTheme="majorHAnsi" w:hAnsiTheme="majorHAnsi" w:cstheme="majorHAnsi"/>
                <w:sz w:val="18"/>
                <w:szCs w:val="18"/>
              </w:rPr>
            </w:pPr>
            <w:r>
              <w:rPr>
                <w:rFonts w:asciiTheme="majorHAnsi" w:hAnsiTheme="majorHAnsi" w:cstheme="majorHAnsi"/>
                <w:sz w:val="18"/>
                <w:szCs w:val="18"/>
              </w:rPr>
              <w:t xml:space="preserve">Builds on the Public Health Advisory Committee’s ‘A Guide to HIA: A Policy Tool for New Zealand ‘(2005). </w:t>
            </w:r>
          </w:p>
        </w:tc>
        <w:tc>
          <w:tcPr>
            <w:tcW w:w="4111" w:type="dxa"/>
          </w:tcPr>
          <w:p w14:paraId="3A27DDF6" w14:textId="17247379" w:rsidR="00D13011" w:rsidRPr="005F02D2" w:rsidRDefault="00D13011" w:rsidP="00D13011">
            <w:pPr>
              <w:rPr>
                <w:rFonts w:asciiTheme="majorHAnsi" w:hAnsiTheme="majorHAnsi" w:cstheme="majorHAnsi"/>
                <w:sz w:val="18"/>
                <w:szCs w:val="18"/>
              </w:rPr>
            </w:pPr>
            <w:r w:rsidRPr="005F02D2">
              <w:rPr>
                <w:rFonts w:asciiTheme="majorHAnsi" w:hAnsiTheme="majorHAnsi" w:cstheme="majorHAnsi"/>
                <w:sz w:val="18"/>
                <w:szCs w:val="18"/>
              </w:rPr>
              <w:t xml:space="preserve">Five reports outlining the research (and supplementing the framework) can be found at </w:t>
            </w:r>
            <w:hyperlink r:id="rId9" w:history="1">
              <w:r w:rsidRPr="005F02D2">
                <w:rPr>
                  <w:rStyle w:val="Hyperlink"/>
                  <w:rFonts w:asciiTheme="majorHAnsi" w:hAnsiTheme="majorHAnsi" w:cstheme="majorHAnsi"/>
                  <w:sz w:val="18"/>
                  <w:szCs w:val="18"/>
                </w:rPr>
                <w:t>www.katoa.net.nz</w:t>
              </w:r>
            </w:hyperlink>
            <w:r w:rsidRPr="005F02D2">
              <w:rPr>
                <w:rFonts w:asciiTheme="majorHAnsi" w:hAnsiTheme="majorHAnsi" w:cstheme="majorHAnsi"/>
                <w:sz w:val="18"/>
                <w:szCs w:val="18"/>
              </w:rPr>
              <w:t xml:space="preserve">. They include three literature </w:t>
            </w:r>
            <w:r w:rsidR="00F67613" w:rsidRPr="005F02D2">
              <w:rPr>
                <w:rFonts w:asciiTheme="majorHAnsi" w:hAnsiTheme="majorHAnsi" w:cstheme="majorHAnsi"/>
                <w:sz w:val="18"/>
                <w:szCs w:val="18"/>
              </w:rPr>
              <w:t>reviews,</w:t>
            </w:r>
            <w:r w:rsidRPr="005F02D2">
              <w:rPr>
                <w:rFonts w:asciiTheme="majorHAnsi" w:hAnsiTheme="majorHAnsi" w:cstheme="majorHAnsi"/>
                <w:sz w:val="18"/>
                <w:szCs w:val="18"/>
              </w:rPr>
              <w:t xml:space="preserve"> a report on the key information reviews and an overview of the findings of the entire research project. </w:t>
            </w:r>
          </w:p>
          <w:p w14:paraId="5498CF18" w14:textId="5E533BBE" w:rsidR="00D13011" w:rsidRPr="005F02D2" w:rsidRDefault="00D13011" w:rsidP="00D13011">
            <w:pPr>
              <w:rPr>
                <w:rFonts w:asciiTheme="majorHAnsi" w:hAnsiTheme="majorHAnsi" w:cstheme="majorHAnsi"/>
                <w:sz w:val="18"/>
                <w:szCs w:val="18"/>
              </w:rPr>
            </w:pPr>
          </w:p>
        </w:tc>
        <w:tc>
          <w:tcPr>
            <w:tcW w:w="4110" w:type="dxa"/>
          </w:tcPr>
          <w:p w14:paraId="054DB79F" w14:textId="79E46884" w:rsidR="00D13011" w:rsidRDefault="0030526C" w:rsidP="00D13011">
            <w:pPr>
              <w:rPr>
                <w:sz w:val="18"/>
                <w:szCs w:val="18"/>
              </w:rPr>
            </w:pPr>
            <w:r>
              <w:rPr>
                <w:sz w:val="18"/>
                <w:szCs w:val="18"/>
              </w:rPr>
              <w:t>Based on the Equity of Health Care for Māori: A Framework and commissioned by Research and Evaluation Group, Te Kete Hauora, Ministry of Health</w:t>
            </w:r>
            <w:r w:rsidR="004C16E2">
              <w:rPr>
                <w:sz w:val="18"/>
                <w:szCs w:val="18"/>
              </w:rPr>
              <w:t>, and informed by an extensive literature review conducted by Fiona Cram (Katoa Ltd).</w:t>
            </w:r>
          </w:p>
        </w:tc>
      </w:tr>
      <w:tr w:rsidR="00407AEE" w:rsidRPr="005E5CE7" w14:paraId="5E6DB541" w14:textId="77777777" w:rsidTr="00407AEE">
        <w:tc>
          <w:tcPr>
            <w:tcW w:w="1980" w:type="dxa"/>
            <w:tcBorders>
              <w:right w:val="single" w:sz="4" w:space="0" w:color="auto"/>
            </w:tcBorders>
          </w:tcPr>
          <w:p w14:paraId="723C19FB" w14:textId="77547A5E" w:rsidR="00D13011" w:rsidRPr="000456CE" w:rsidRDefault="00D13011" w:rsidP="00D13011">
            <w:pPr>
              <w:rPr>
                <w:b/>
                <w:bCs/>
                <w:sz w:val="18"/>
                <w:szCs w:val="18"/>
              </w:rPr>
            </w:pPr>
            <w:r w:rsidRPr="000456CE">
              <w:rPr>
                <w:b/>
                <w:bCs/>
                <w:sz w:val="18"/>
                <w:szCs w:val="18"/>
              </w:rPr>
              <w:t>What is it</w:t>
            </w:r>
          </w:p>
        </w:tc>
        <w:tc>
          <w:tcPr>
            <w:tcW w:w="3969" w:type="dxa"/>
            <w:tcBorders>
              <w:left w:val="single" w:sz="4" w:space="0" w:color="auto"/>
            </w:tcBorders>
          </w:tcPr>
          <w:p w14:paraId="0687BB7C" w14:textId="407CD383" w:rsidR="00D13011" w:rsidRPr="00760F96" w:rsidRDefault="00D13011" w:rsidP="00D13011">
            <w:pPr>
              <w:pStyle w:val="NormalWeb"/>
              <w:rPr>
                <w:rFonts w:asciiTheme="majorHAnsi" w:hAnsiTheme="majorHAnsi" w:cstheme="majorHAnsi"/>
                <w:sz w:val="18"/>
                <w:szCs w:val="18"/>
              </w:rPr>
            </w:pPr>
            <w:r w:rsidRPr="00760F96">
              <w:rPr>
                <w:rFonts w:asciiTheme="majorHAnsi" w:hAnsiTheme="majorHAnsi" w:cstheme="majorHAnsi"/>
                <w:sz w:val="18"/>
                <w:szCs w:val="18"/>
              </w:rPr>
              <w:t xml:space="preserve">The framework for intervention entails developing and implementing comprehensive strategies at four levels. </w:t>
            </w:r>
          </w:p>
          <w:p w14:paraId="203034D4" w14:textId="77777777" w:rsidR="00D13011" w:rsidRPr="00760F96" w:rsidRDefault="00D13011" w:rsidP="00D13011">
            <w:pPr>
              <w:pStyle w:val="NormalWeb"/>
              <w:numPr>
                <w:ilvl w:val="0"/>
                <w:numId w:val="1"/>
              </w:numPr>
              <w:tabs>
                <w:tab w:val="clear" w:pos="720"/>
                <w:tab w:val="num" w:pos="255"/>
              </w:tabs>
              <w:ind w:left="255" w:hanging="284"/>
              <w:rPr>
                <w:rFonts w:asciiTheme="majorHAnsi" w:hAnsiTheme="majorHAnsi" w:cstheme="majorHAnsi"/>
                <w:sz w:val="18"/>
                <w:szCs w:val="18"/>
              </w:rPr>
            </w:pPr>
            <w:r w:rsidRPr="00760F96">
              <w:rPr>
                <w:rFonts w:asciiTheme="majorHAnsi" w:hAnsiTheme="majorHAnsi" w:cstheme="majorHAnsi"/>
                <w:sz w:val="18"/>
                <w:szCs w:val="18"/>
              </w:rPr>
              <w:t xml:space="preserve">Structural – tackling the root causes of health inequalities, that is, the social, economic, cultural and historical factors that fundamentally determine health. </w:t>
            </w:r>
          </w:p>
          <w:p w14:paraId="74676601" w14:textId="77777777" w:rsidR="00D13011" w:rsidRPr="00760F96" w:rsidRDefault="00D13011" w:rsidP="00D13011">
            <w:pPr>
              <w:pStyle w:val="NormalWeb"/>
              <w:numPr>
                <w:ilvl w:val="0"/>
                <w:numId w:val="1"/>
              </w:numPr>
              <w:ind w:left="255" w:hanging="255"/>
              <w:rPr>
                <w:rFonts w:asciiTheme="majorHAnsi" w:hAnsiTheme="majorHAnsi" w:cstheme="majorHAnsi"/>
                <w:sz w:val="18"/>
                <w:szCs w:val="18"/>
              </w:rPr>
            </w:pPr>
            <w:r w:rsidRPr="00760F96">
              <w:rPr>
                <w:rFonts w:asciiTheme="majorHAnsi" w:hAnsiTheme="majorHAnsi" w:cstheme="majorHAnsi"/>
                <w:sz w:val="18"/>
                <w:szCs w:val="18"/>
              </w:rPr>
              <w:t xml:space="preserve">Intermediary pathways – targeting material, psychosocial and behavioural factors that mediate the impact of structural factors on health. </w:t>
            </w:r>
          </w:p>
          <w:p w14:paraId="3DC12F05" w14:textId="77777777" w:rsidR="00D13011" w:rsidRPr="00760F96" w:rsidRDefault="00D13011" w:rsidP="00D13011">
            <w:pPr>
              <w:pStyle w:val="NormalWeb"/>
              <w:numPr>
                <w:ilvl w:val="0"/>
                <w:numId w:val="1"/>
              </w:numPr>
              <w:ind w:left="255" w:hanging="255"/>
              <w:rPr>
                <w:rFonts w:asciiTheme="majorHAnsi" w:hAnsiTheme="majorHAnsi" w:cstheme="majorHAnsi"/>
                <w:sz w:val="18"/>
                <w:szCs w:val="18"/>
              </w:rPr>
            </w:pPr>
            <w:r w:rsidRPr="00760F96">
              <w:rPr>
                <w:rFonts w:asciiTheme="majorHAnsi" w:hAnsiTheme="majorHAnsi" w:cstheme="majorHAnsi"/>
                <w:sz w:val="18"/>
                <w:szCs w:val="18"/>
              </w:rPr>
              <w:t xml:space="preserve">Health and disability services – undertaking specific actions within health and disability services. </w:t>
            </w:r>
          </w:p>
          <w:p w14:paraId="55DAC8C2" w14:textId="77777777" w:rsidR="0061044C" w:rsidRDefault="00D13011" w:rsidP="00F605AA">
            <w:pPr>
              <w:pStyle w:val="NormalWeb"/>
              <w:numPr>
                <w:ilvl w:val="0"/>
                <w:numId w:val="1"/>
              </w:numPr>
              <w:ind w:left="255" w:hanging="255"/>
              <w:rPr>
                <w:rFonts w:asciiTheme="majorHAnsi" w:hAnsiTheme="majorHAnsi" w:cstheme="majorHAnsi"/>
                <w:sz w:val="18"/>
                <w:szCs w:val="18"/>
              </w:rPr>
            </w:pPr>
            <w:r w:rsidRPr="00760F96">
              <w:rPr>
                <w:rFonts w:asciiTheme="majorHAnsi" w:hAnsiTheme="majorHAnsi" w:cstheme="majorHAnsi"/>
                <w:sz w:val="18"/>
                <w:szCs w:val="18"/>
              </w:rPr>
              <w:t xml:space="preserve">Impact – minimising the impact of disability and illness on socioeconomic position. </w:t>
            </w:r>
          </w:p>
          <w:p w14:paraId="06BD9C49" w14:textId="485A9389" w:rsidR="00D13011" w:rsidRPr="0061044C" w:rsidRDefault="00D13011" w:rsidP="0061044C">
            <w:pPr>
              <w:pStyle w:val="NormalWeb"/>
              <w:rPr>
                <w:rFonts w:asciiTheme="majorHAnsi" w:hAnsiTheme="majorHAnsi" w:cstheme="majorHAnsi"/>
                <w:sz w:val="18"/>
                <w:szCs w:val="18"/>
              </w:rPr>
            </w:pPr>
            <w:r w:rsidRPr="0061044C">
              <w:rPr>
                <w:rFonts w:asciiTheme="majorHAnsi" w:hAnsiTheme="majorHAnsi" w:cstheme="majorHAnsi"/>
                <w:sz w:val="18"/>
                <w:szCs w:val="18"/>
              </w:rPr>
              <w:t xml:space="preserve">Intervention at these four levels should be undertaken nationally, regionally and locally by policy-makers, funders and providers. </w:t>
            </w:r>
          </w:p>
        </w:tc>
        <w:tc>
          <w:tcPr>
            <w:tcW w:w="3969" w:type="dxa"/>
          </w:tcPr>
          <w:p w14:paraId="1602557E" w14:textId="77777777" w:rsidR="00D13011" w:rsidRPr="00846502" w:rsidRDefault="00D13011" w:rsidP="00D13011">
            <w:pPr>
              <w:rPr>
                <w:rFonts w:asciiTheme="majorHAnsi" w:hAnsiTheme="majorHAnsi" w:cstheme="majorHAnsi"/>
                <w:color w:val="002639"/>
                <w:sz w:val="18"/>
                <w:szCs w:val="18"/>
                <w:shd w:val="clear" w:color="auto" w:fill="FFFFFF"/>
              </w:rPr>
            </w:pPr>
            <w:r w:rsidRPr="00846502">
              <w:rPr>
                <w:rStyle w:val="Emphasis"/>
                <w:rFonts w:asciiTheme="majorHAnsi" w:hAnsiTheme="majorHAnsi" w:cstheme="majorHAnsi"/>
                <w:color w:val="002639"/>
                <w:sz w:val="18"/>
                <w:szCs w:val="18"/>
              </w:rPr>
              <w:t>The Health Equity Assessment Tool: A User's Guide</w:t>
            </w:r>
            <w:r w:rsidRPr="00846502">
              <w:rPr>
                <w:rFonts w:asciiTheme="majorHAnsi" w:hAnsiTheme="majorHAnsi" w:cstheme="majorHAnsi"/>
                <w:color w:val="002639"/>
                <w:sz w:val="18"/>
                <w:szCs w:val="18"/>
                <w:shd w:val="clear" w:color="auto" w:fill="FFFFFF"/>
              </w:rPr>
              <w:t>, has been developed by the University of Otago, Wellington, to help facilitate the use of the Health Equity Assessment Tool (HEAT).</w:t>
            </w:r>
          </w:p>
          <w:p w14:paraId="13908C6A" w14:textId="77777777" w:rsidR="00D13011" w:rsidRPr="00846502" w:rsidRDefault="00D13011" w:rsidP="00D13011">
            <w:pPr>
              <w:rPr>
                <w:rFonts w:asciiTheme="majorHAnsi" w:hAnsiTheme="majorHAnsi" w:cstheme="majorHAnsi"/>
                <w:color w:val="002639"/>
                <w:sz w:val="18"/>
                <w:szCs w:val="18"/>
                <w:shd w:val="clear" w:color="auto" w:fill="FFFFFF"/>
              </w:rPr>
            </w:pPr>
            <w:r w:rsidRPr="00846502">
              <w:rPr>
                <w:rFonts w:asciiTheme="majorHAnsi" w:hAnsiTheme="majorHAnsi" w:cstheme="majorHAnsi"/>
                <w:color w:val="002639"/>
                <w:sz w:val="18"/>
                <w:szCs w:val="18"/>
              </w:rPr>
              <w:br/>
            </w:r>
            <w:r w:rsidRPr="00846502">
              <w:rPr>
                <w:rFonts w:asciiTheme="majorHAnsi" w:hAnsiTheme="majorHAnsi" w:cstheme="majorHAnsi"/>
                <w:color w:val="002639"/>
                <w:sz w:val="18"/>
                <w:szCs w:val="18"/>
                <w:shd w:val="clear" w:color="auto" w:fill="FFFFFF"/>
              </w:rPr>
              <w:t>The Health Equity Assessment Tool: A User's Guide gives a brief overview of inequalities in health, introduces the HEAT and its use, presents an in-depth look at each of the HEAT questions, and provides case examples of the tool's use.</w:t>
            </w:r>
          </w:p>
          <w:p w14:paraId="42635C6F" w14:textId="7296859B" w:rsidR="00D13011" w:rsidRPr="00846502" w:rsidRDefault="00D13011" w:rsidP="00D13011">
            <w:pPr>
              <w:rPr>
                <w:rFonts w:asciiTheme="majorHAnsi" w:hAnsiTheme="majorHAnsi" w:cstheme="majorHAnsi"/>
                <w:sz w:val="18"/>
                <w:szCs w:val="18"/>
              </w:rPr>
            </w:pPr>
            <w:r w:rsidRPr="00846502">
              <w:rPr>
                <w:rFonts w:asciiTheme="majorHAnsi" w:hAnsiTheme="majorHAnsi" w:cstheme="majorHAnsi"/>
                <w:color w:val="002639"/>
                <w:sz w:val="18"/>
                <w:szCs w:val="18"/>
              </w:rPr>
              <w:br/>
            </w:r>
            <w:r w:rsidRPr="00846502">
              <w:rPr>
                <w:rFonts w:asciiTheme="majorHAnsi" w:hAnsiTheme="majorHAnsi" w:cstheme="majorHAnsi"/>
                <w:color w:val="002639"/>
                <w:sz w:val="18"/>
                <w:szCs w:val="18"/>
                <w:shd w:val="clear" w:color="auto" w:fill="FFFFFF"/>
              </w:rPr>
              <w:t>This publication is an essential guide for those working in the health and disability to apply a strong equity focus to their work.</w:t>
            </w:r>
          </w:p>
          <w:p w14:paraId="332157CA" w14:textId="1BC4B96E" w:rsidR="00D13011" w:rsidRPr="00760F96" w:rsidRDefault="00D13011" w:rsidP="00D13011">
            <w:pPr>
              <w:rPr>
                <w:rFonts w:asciiTheme="majorHAnsi" w:hAnsiTheme="majorHAnsi" w:cstheme="majorHAnsi"/>
                <w:sz w:val="18"/>
                <w:szCs w:val="18"/>
              </w:rPr>
            </w:pPr>
          </w:p>
        </w:tc>
        <w:tc>
          <w:tcPr>
            <w:tcW w:w="3969" w:type="dxa"/>
          </w:tcPr>
          <w:p w14:paraId="1D66AE6C" w14:textId="5B3B9245" w:rsidR="00D13011" w:rsidRDefault="00D13011" w:rsidP="00D13011">
            <w:pPr>
              <w:rPr>
                <w:rFonts w:asciiTheme="majorHAnsi" w:hAnsiTheme="majorHAnsi" w:cstheme="majorHAnsi"/>
                <w:sz w:val="18"/>
                <w:szCs w:val="18"/>
              </w:rPr>
            </w:pPr>
            <w:r>
              <w:rPr>
                <w:rFonts w:asciiTheme="majorHAnsi" w:hAnsiTheme="majorHAnsi" w:cstheme="majorHAnsi"/>
                <w:sz w:val="18"/>
                <w:szCs w:val="18"/>
              </w:rPr>
              <w:t xml:space="preserve">The </w:t>
            </w:r>
            <w:r w:rsidR="00F67613">
              <w:rPr>
                <w:rFonts w:asciiTheme="majorHAnsi" w:hAnsiTheme="majorHAnsi" w:cstheme="majorHAnsi"/>
                <w:sz w:val="18"/>
                <w:szCs w:val="18"/>
              </w:rPr>
              <w:t>Whānau</w:t>
            </w:r>
            <w:r>
              <w:rPr>
                <w:rFonts w:asciiTheme="majorHAnsi" w:hAnsiTheme="majorHAnsi" w:cstheme="majorHAnsi"/>
                <w:sz w:val="18"/>
                <w:szCs w:val="18"/>
              </w:rPr>
              <w:t xml:space="preserve"> Ora HIA tool follows the same methodology outlined in the Public Health Advisory Committees’ A Guide to HIA: A Policy Tool for New Zealand’:  screening scoping, appraisal and reporting and evaluation.  </w:t>
            </w:r>
          </w:p>
          <w:p w14:paraId="7657B7FD" w14:textId="77777777" w:rsidR="00D13011" w:rsidRDefault="00D13011" w:rsidP="00D13011">
            <w:pPr>
              <w:rPr>
                <w:rFonts w:asciiTheme="majorHAnsi" w:hAnsiTheme="majorHAnsi" w:cstheme="majorHAnsi"/>
                <w:sz w:val="18"/>
                <w:szCs w:val="18"/>
              </w:rPr>
            </w:pPr>
          </w:p>
          <w:p w14:paraId="595061DF" w14:textId="77777777" w:rsidR="00D13011" w:rsidRPr="00272343" w:rsidRDefault="00D13011" w:rsidP="00D13011">
            <w:pPr>
              <w:pStyle w:val="ListParagraph"/>
              <w:ind w:left="434"/>
              <w:rPr>
                <w:rFonts w:asciiTheme="majorHAnsi" w:hAnsiTheme="majorHAnsi" w:cstheme="majorHAnsi"/>
                <w:sz w:val="18"/>
                <w:szCs w:val="18"/>
              </w:rPr>
            </w:pPr>
          </w:p>
          <w:p w14:paraId="5E94B116" w14:textId="77777777" w:rsidR="00D13011" w:rsidRDefault="00D13011" w:rsidP="00D13011">
            <w:pPr>
              <w:rPr>
                <w:rFonts w:asciiTheme="majorHAnsi" w:hAnsiTheme="majorHAnsi" w:cstheme="majorHAnsi"/>
                <w:sz w:val="18"/>
                <w:szCs w:val="18"/>
              </w:rPr>
            </w:pPr>
            <w:r>
              <w:rPr>
                <w:rFonts w:asciiTheme="majorHAnsi" w:hAnsiTheme="majorHAnsi" w:cstheme="majorHAnsi"/>
                <w:sz w:val="18"/>
                <w:szCs w:val="18"/>
              </w:rPr>
              <w:t xml:space="preserve">There are two major types of health impact assessment:  policy level HIA and project level HIA.  It is a systematic approach to identifying the likely impacts on the health and wellbeing of a population of any proposed policy, strategy, plan or project prior to implementation.  </w:t>
            </w:r>
          </w:p>
          <w:p w14:paraId="095A7EAC" w14:textId="77777777" w:rsidR="00D13011" w:rsidRDefault="00D13011" w:rsidP="00D13011">
            <w:pPr>
              <w:rPr>
                <w:rFonts w:asciiTheme="majorHAnsi" w:hAnsiTheme="majorHAnsi" w:cstheme="majorHAnsi"/>
                <w:sz w:val="18"/>
                <w:szCs w:val="18"/>
              </w:rPr>
            </w:pPr>
          </w:p>
          <w:p w14:paraId="0CF90AB1" w14:textId="7CB47AAE" w:rsidR="00D13011" w:rsidRDefault="00D13011" w:rsidP="00D13011">
            <w:pPr>
              <w:rPr>
                <w:rFonts w:asciiTheme="majorHAnsi" w:hAnsiTheme="majorHAnsi" w:cstheme="majorHAnsi"/>
                <w:sz w:val="18"/>
                <w:szCs w:val="18"/>
              </w:rPr>
            </w:pPr>
            <w:r>
              <w:rPr>
                <w:rFonts w:asciiTheme="majorHAnsi" w:hAnsiTheme="majorHAnsi" w:cstheme="majorHAnsi"/>
                <w:sz w:val="18"/>
                <w:szCs w:val="18"/>
              </w:rPr>
              <w:t xml:space="preserve">Once the impacts have been identified, a set of actions can be prepared to inform the decision-making process. There recommendations are evidence based and outcome focused.   They propose practical ways to enhance the positive effects, for remove or minimise any negative impacts. </w:t>
            </w:r>
          </w:p>
          <w:p w14:paraId="2131ADDC" w14:textId="09EABA48" w:rsidR="00D13011" w:rsidRPr="00760F96" w:rsidRDefault="00D13011" w:rsidP="00D13011">
            <w:pPr>
              <w:rPr>
                <w:rFonts w:asciiTheme="majorHAnsi" w:hAnsiTheme="majorHAnsi" w:cstheme="majorHAnsi"/>
                <w:sz w:val="18"/>
                <w:szCs w:val="18"/>
              </w:rPr>
            </w:pPr>
          </w:p>
        </w:tc>
        <w:tc>
          <w:tcPr>
            <w:tcW w:w="4111" w:type="dxa"/>
          </w:tcPr>
          <w:p w14:paraId="2CDB0F14" w14:textId="77BAA3AC" w:rsidR="00D13011" w:rsidRPr="005F02D2" w:rsidRDefault="00D13011" w:rsidP="00D13011">
            <w:pPr>
              <w:rPr>
                <w:rFonts w:asciiTheme="majorHAnsi" w:hAnsiTheme="majorHAnsi" w:cstheme="majorHAnsi"/>
                <w:sz w:val="18"/>
                <w:szCs w:val="18"/>
              </w:rPr>
            </w:pPr>
            <w:r w:rsidRPr="005F02D2">
              <w:rPr>
                <w:rFonts w:asciiTheme="majorHAnsi" w:hAnsiTheme="majorHAnsi" w:cstheme="majorHAnsi"/>
                <w:sz w:val="18"/>
                <w:szCs w:val="18"/>
              </w:rPr>
              <w:t xml:space="preserve">The Equity of Health Care for </w:t>
            </w:r>
            <w:r w:rsidR="00F67613" w:rsidRPr="005F02D2">
              <w:rPr>
                <w:rFonts w:asciiTheme="majorHAnsi" w:hAnsiTheme="majorHAnsi" w:cstheme="majorHAnsi"/>
                <w:sz w:val="18"/>
                <w:szCs w:val="18"/>
              </w:rPr>
              <w:t>M</w:t>
            </w:r>
            <w:r w:rsidR="00F67613">
              <w:rPr>
                <w:rFonts w:asciiTheme="majorHAnsi" w:hAnsiTheme="majorHAnsi" w:cstheme="majorHAnsi"/>
                <w:sz w:val="18"/>
                <w:szCs w:val="18"/>
              </w:rPr>
              <w:t>ā</w:t>
            </w:r>
            <w:r w:rsidR="00F67613" w:rsidRPr="005F02D2">
              <w:rPr>
                <w:rFonts w:asciiTheme="majorHAnsi" w:hAnsiTheme="majorHAnsi" w:cstheme="majorHAnsi"/>
                <w:sz w:val="18"/>
                <w:szCs w:val="18"/>
              </w:rPr>
              <w:t>ori:</w:t>
            </w:r>
            <w:r w:rsidR="00857AD3">
              <w:rPr>
                <w:rFonts w:asciiTheme="majorHAnsi" w:hAnsiTheme="majorHAnsi" w:cstheme="majorHAnsi"/>
                <w:sz w:val="18"/>
                <w:szCs w:val="18"/>
              </w:rPr>
              <w:t xml:space="preserve"> </w:t>
            </w:r>
            <w:r w:rsidRPr="005F02D2">
              <w:rPr>
                <w:rFonts w:asciiTheme="majorHAnsi" w:hAnsiTheme="majorHAnsi" w:cstheme="majorHAnsi"/>
                <w:sz w:val="18"/>
                <w:szCs w:val="18"/>
              </w:rPr>
              <w:t xml:space="preserve">A framework guides health practitioners, health organisations and health system </w:t>
            </w:r>
            <w:r w:rsidR="00857AD3">
              <w:rPr>
                <w:rFonts w:asciiTheme="majorHAnsi" w:hAnsiTheme="majorHAnsi" w:cstheme="majorHAnsi"/>
                <w:sz w:val="18"/>
                <w:szCs w:val="18"/>
              </w:rPr>
              <w:t xml:space="preserve">agencies </w:t>
            </w:r>
            <w:r w:rsidRPr="005F02D2">
              <w:rPr>
                <w:rFonts w:asciiTheme="majorHAnsi" w:hAnsiTheme="majorHAnsi" w:cstheme="majorHAnsi"/>
                <w:sz w:val="18"/>
                <w:szCs w:val="18"/>
              </w:rPr>
              <w:t>to achieve equitable health care for Māori</w:t>
            </w:r>
          </w:p>
          <w:p w14:paraId="6B824BD8" w14:textId="77777777" w:rsidR="00D13011" w:rsidRPr="005F02D2" w:rsidRDefault="00D13011" w:rsidP="00D13011">
            <w:pPr>
              <w:rPr>
                <w:rFonts w:asciiTheme="majorHAnsi" w:hAnsiTheme="majorHAnsi" w:cstheme="majorHAnsi"/>
                <w:sz w:val="18"/>
                <w:szCs w:val="18"/>
              </w:rPr>
            </w:pPr>
          </w:p>
          <w:p w14:paraId="2886490C" w14:textId="77777777" w:rsidR="00D13011" w:rsidRPr="005F02D2" w:rsidRDefault="00D13011" w:rsidP="00D13011">
            <w:pPr>
              <w:rPr>
                <w:rFonts w:asciiTheme="majorHAnsi" w:hAnsiTheme="majorHAnsi" w:cstheme="majorHAnsi"/>
                <w:sz w:val="18"/>
                <w:szCs w:val="18"/>
              </w:rPr>
            </w:pPr>
            <w:r w:rsidRPr="005F02D2">
              <w:rPr>
                <w:rFonts w:asciiTheme="majorHAnsi" w:hAnsiTheme="majorHAnsi" w:cstheme="majorHAnsi"/>
                <w:sz w:val="18"/>
                <w:szCs w:val="18"/>
              </w:rPr>
              <w:t xml:space="preserve">There are three action areas that support the framework: </w:t>
            </w:r>
          </w:p>
          <w:p w14:paraId="045723A2" w14:textId="77777777" w:rsidR="00D13011" w:rsidRPr="005F02D2" w:rsidRDefault="00D13011" w:rsidP="00D13011">
            <w:pPr>
              <w:rPr>
                <w:rFonts w:asciiTheme="majorHAnsi" w:hAnsiTheme="majorHAnsi" w:cstheme="majorHAnsi"/>
                <w:sz w:val="18"/>
                <w:szCs w:val="18"/>
              </w:rPr>
            </w:pPr>
          </w:p>
          <w:p w14:paraId="0B6C909A" w14:textId="1F9C8A1C" w:rsidR="00D13011" w:rsidRPr="005F02D2" w:rsidRDefault="00D13011" w:rsidP="00D13011">
            <w:pPr>
              <w:pStyle w:val="ListParagraph"/>
              <w:numPr>
                <w:ilvl w:val="0"/>
                <w:numId w:val="5"/>
              </w:numPr>
              <w:ind w:left="239" w:hanging="239"/>
              <w:rPr>
                <w:rFonts w:asciiTheme="majorHAnsi" w:hAnsiTheme="majorHAnsi" w:cstheme="majorHAnsi"/>
                <w:sz w:val="18"/>
                <w:szCs w:val="18"/>
              </w:rPr>
            </w:pPr>
            <w:r w:rsidRPr="005F02D2">
              <w:rPr>
                <w:rFonts w:asciiTheme="majorHAnsi" w:hAnsiTheme="majorHAnsi" w:cstheme="majorHAnsi"/>
                <w:b/>
                <w:bCs/>
                <w:sz w:val="18"/>
                <w:szCs w:val="18"/>
              </w:rPr>
              <w:t xml:space="preserve">Leadership – </w:t>
            </w:r>
            <w:r w:rsidRPr="005F02D2">
              <w:rPr>
                <w:rFonts w:asciiTheme="majorHAnsi" w:hAnsiTheme="majorHAnsi" w:cstheme="majorHAnsi"/>
                <w:sz w:val="18"/>
                <w:szCs w:val="18"/>
              </w:rPr>
              <w:t>championing the provision of high-quality health care that delivers equitable health outcomes for Māori</w:t>
            </w:r>
          </w:p>
          <w:p w14:paraId="07A62A66" w14:textId="77777777" w:rsidR="00D13011" w:rsidRPr="005F02D2" w:rsidRDefault="00D13011" w:rsidP="00D13011">
            <w:pPr>
              <w:pStyle w:val="ListParagraph"/>
              <w:numPr>
                <w:ilvl w:val="0"/>
                <w:numId w:val="5"/>
              </w:numPr>
              <w:ind w:left="239" w:hanging="239"/>
              <w:rPr>
                <w:rFonts w:asciiTheme="majorHAnsi" w:hAnsiTheme="majorHAnsi" w:cstheme="majorHAnsi"/>
                <w:sz w:val="18"/>
                <w:szCs w:val="18"/>
              </w:rPr>
            </w:pPr>
            <w:r w:rsidRPr="005F02D2">
              <w:rPr>
                <w:rFonts w:asciiTheme="majorHAnsi" w:hAnsiTheme="majorHAnsi" w:cstheme="majorHAnsi"/>
                <w:b/>
                <w:bCs/>
                <w:sz w:val="18"/>
                <w:szCs w:val="18"/>
              </w:rPr>
              <w:t xml:space="preserve">Knowledge – </w:t>
            </w:r>
            <w:r w:rsidRPr="005F02D2">
              <w:rPr>
                <w:rFonts w:asciiTheme="majorHAnsi" w:hAnsiTheme="majorHAnsi" w:cstheme="majorHAnsi"/>
                <w:sz w:val="18"/>
                <w:szCs w:val="18"/>
              </w:rPr>
              <w:t>developing a knowledge base on ways to effectively deliver and monitor high quality healthcare for Māori</w:t>
            </w:r>
          </w:p>
          <w:p w14:paraId="09E7A3B9" w14:textId="74BC9536" w:rsidR="00D13011" w:rsidRPr="005F02D2" w:rsidRDefault="00D13011" w:rsidP="00D13011">
            <w:pPr>
              <w:pStyle w:val="ListParagraph"/>
              <w:numPr>
                <w:ilvl w:val="0"/>
                <w:numId w:val="5"/>
              </w:numPr>
              <w:ind w:left="239" w:hanging="239"/>
              <w:rPr>
                <w:rFonts w:asciiTheme="majorHAnsi" w:hAnsiTheme="majorHAnsi" w:cstheme="majorHAnsi"/>
                <w:sz w:val="18"/>
                <w:szCs w:val="18"/>
              </w:rPr>
            </w:pPr>
            <w:r w:rsidRPr="005F02D2">
              <w:rPr>
                <w:rFonts w:asciiTheme="majorHAnsi" w:hAnsiTheme="majorHAnsi" w:cstheme="majorHAnsi"/>
                <w:b/>
                <w:bCs/>
                <w:sz w:val="18"/>
                <w:szCs w:val="18"/>
              </w:rPr>
              <w:t xml:space="preserve">Commitment – </w:t>
            </w:r>
            <w:r w:rsidRPr="005F02D2">
              <w:rPr>
                <w:rFonts w:asciiTheme="majorHAnsi" w:hAnsiTheme="majorHAnsi" w:cstheme="majorHAnsi"/>
                <w:sz w:val="18"/>
                <w:szCs w:val="18"/>
              </w:rPr>
              <w:t>providing high quality health care that meets the health care needs and aspirations of Maori</w:t>
            </w:r>
          </w:p>
        </w:tc>
        <w:tc>
          <w:tcPr>
            <w:tcW w:w="4110" w:type="dxa"/>
          </w:tcPr>
          <w:p w14:paraId="5A2179B5" w14:textId="7237F7B2" w:rsidR="00D13011" w:rsidRDefault="00D247B2" w:rsidP="00D13011">
            <w:pPr>
              <w:rPr>
                <w:sz w:val="18"/>
                <w:szCs w:val="18"/>
              </w:rPr>
            </w:pPr>
            <w:r>
              <w:rPr>
                <w:sz w:val="18"/>
                <w:szCs w:val="18"/>
              </w:rPr>
              <w:t xml:space="preserve">The Equity Framework identified three commission roles: </w:t>
            </w:r>
          </w:p>
          <w:p w14:paraId="68264D0A" w14:textId="77777777" w:rsidR="00F67613" w:rsidRDefault="00F67613" w:rsidP="00D13011">
            <w:pPr>
              <w:rPr>
                <w:sz w:val="18"/>
                <w:szCs w:val="18"/>
              </w:rPr>
            </w:pPr>
          </w:p>
          <w:p w14:paraId="06C26C08" w14:textId="09811213" w:rsidR="00D247B2" w:rsidRPr="00F605AA" w:rsidRDefault="00D247B2" w:rsidP="00D247B2">
            <w:pPr>
              <w:pStyle w:val="ListParagraph"/>
              <w:numPr>
                <w:ilvl w:val="0"/>
                <w:numId w:val="6"/>
              </w:numPr>
              <w:ind w:left="321" w:hanging="284"/>
              <w:rPr>
                <w:b/>
                <w:bCs/>
                <w:sz w:val="18"/>
                <w:szCs w:val="18"/>
              </w:rPr>
            </w:pPr>
            <w:r w:rsidRPr="00F605AA">
              <w:rPr>
                <w:b/>
                <w:bCs/>
                <w:sz w:val="18"/>
                <w:szCs w:val="18"/>
              </w:rPr>
              <w:t>Strategic Planning</w:t>
            </w:r>
          </w:p>
          <w:p w14:paraId="379F1CAC" w14:textId="6854C40A" w:rsidR="00F67613" w:rsidRDefault="00F67613" w:rsidP="00F67613">
            <w:pPr>
              <w:pStyle w:val="ListParagraph"/>
              <w:numPr>
                <w:ilvl w:val="0"/>
                <w:numId w:val="7"/>
              </w:numPr>
              <w:ind w:left="462" w:hanging="141"/>
              <w:rPr>
                <w:sz w:val="18"/>
                <w:szCs w:val="18"/>
              </w:rPr>
            </w:pPr>
            <w:r>
              <w:rPr>
                <w:sz w:val="18"/>
                <w:szCs w:val="18"/>
              </w:rPr>
              <w:t>Needs assessment</w:t>
            </w:r>
          </w:p>
          <w:p w14:paraId="16F1A347" w14:textId="74567592" w:rsidR="00F67613" w:rsidRPr="00F67613" w:rsidRDefault="00F67613" w:rsidP="00F67613">
            <w:pPr>
              <w:pStyle w:val="ListParagraph"/>
              <w:numPr>
                <w:ilvl w:val="0"/>
                <w:numId w:val="7"/>
              </w:numPr>
              <w:ind w:left="462" w:hanging="141"/>
              <w:rPr>
                <w:sz w:val="18"/>
                <w:szCs w:val="18"/>
              </w:rPr>
            </w:pPr>
            <w:r>
              <w:rPr>
                <w:sz w:val="18"/>
                <w:szCs w:val="18"/>
              </w:rPr>
              <w:t>Annual planning</w:t>
            </w:r>
          </w:p>
          <w:p w14:paraId="2585B9B5" w14:textId="33E94B8A" w:rsidR="00D247B2" w:rsidRPr="00F605AA" w:rsidRDefault="00D247B2" w:rsidP="00D247B2">
            <w:pPr>
              <w:pStyle w:val="ListParagraph"/>
              <w:numPr>
                <w:ilvl w:val="0"/>
                <w:numId w:val="6"/>
              </w:numPr>
              <w:ind w:left="321" w:hanging="284"/>
              <w:rPr>
                <w:b/>
                <w:bCs/>
                <w:sz w:val="18"/>
                <w:szCs w:val="18"/>
              </w:rPr>
            </w:pPr>
            <w:r w:rsidRPr="00F605AA">
              <w:rPr>
                <w:b/>
                <w:bCs/>
                <w:sz w:val="18"/>
                <w:szCs w:val="18"/>
              </w:rPr>
              <w:t xml:space="preserve">Procuring Services </w:t>
            </w:r>
          </w:p>
          <w:p w14:paraId="1803BD62" w14:textId="2A5D8EF1" w:rsidR="00F67613" w:rsidRDefault="00F67613" w:rsidP="00F67613">
            <w:pPr>
              <w:pStyle w:val="ListParagraph"/>
              <w:numPr>
                <w:ilvl w:val="0"/>
                <w:numId w:val="7"/>
              </w:numPr>
              <w:ind w:left="462" w:hanging="141"/>
              <w:rPr>
                <w:sz w:val="18"/>
                <w:szCs w:val="18"/>
              </w:rPr>
            </w:pPr>
            <w:r>
              <w:rPr>
                <w:sz w:val="18"/>
                <w:szCs w:val="18"/>
              </w:rPr>
              <w:t>Designing and contracting services</w:t>
            </w:r>
          </w:p>
          <w:p w14:paraId="624180A6" w14:textId="6FF2F168" w:rsidR="00F67613" w:rsidRPr="00F67613" w:rsidRDefault="00F67613" w:rsidP="00F67613">
            <w:pPr>
              <w:pStyle w:val="ListParagraph"/>
              <w:numPr>
                <w:ilvl w:val="0"/>
                <w:numId w:val="7"/>
              </w:numPr>
              <w:ind w:left="462" w:hanging="141"/>
              <w:rPr>
                <w:sz w:val="18"/>
                <w:szCs w:val="18"/>
              </w:rPr>
            </w:pPr>
            <w:r>
              <w:rPr>
                <w:sz w:val="18"/>
                <w:szCs w:val="18"/>
              </w:rPr>
              <w:t>Shaping the structure of delivery</w:t>
            </w:r>
          </w:p>
          <w:p w14:paraId="3C623832" w14:textId="77777777" w:rsidR="00D247B2" w:rsidRPr="00F605AA" w:rsidRDefault="00D247B2" w:rsidP="00D247B2">
            <w:pPr>
              <w:pStyle w:val="ListParagraph"/>
              <w:numPr>
                <w:ilvl w:val="0"/>
                <w:numId w:val="6"/>
              </w:numPr>
              <w:ind w:left="321" w:hanging="284"/>
              <w:rPr>
                <w:b/>
                <w:bCs/>
                <w:sz w:val="18"/>
                <w:szCs w:val="18"/>
              </w:rPr>
            </w:pPr>
            <w:r w:rsidRPr="00F605AA">
              <w:rPr>
                <w:b/>
                <w:bCs/>
                <w:sz w:val="18"/>
                <w:szCs w:val="18"/>
              </w:rPr>
              <w:t>Monitoring and Ev</w:t>
            </w:r>
            <w:r w:rsidR="00F67613" w:rsidRPr="00F605AA">
              <w:rPr>
                <w:b/>
                <w:bCs/>
                <w:sz w:val="18"/>
                <w:szCs w:val="18"/>
              </w:rPr>
              <w:t xml:space="preserve">aluation </w:t>
            </w:r>
          </w:p>
          <w:p w14:paraId="1CD4D917" w14:textId="77777777" w:rsidR="00F67613" w:rsidRDefault="00F67613" w:rsidP="00F67613">
            <w:pPr>
              <w:pStyle w:val="ListParagraph"/>
              <w:numPr>
                <w:ilvl w:val="0"/>
                <w:numId w:val="7"/>
              </w:numPr>
              <w:tabs>
                <w:tab w:val="left" w:pos="462"/>
              </w:tabs>
              <w:ind w:left="462" w:hanging="102"/>
              <w:rPr>
                <w:sz w:val="18"/>
                <w:szCs w:val="18"/>
              </w:rPr>
            </w:pPr>
            <w:r>
              <w:rPr>
                <w:sz w:val="18"/>
                <w:szCs w:val="18"/>
              </w:rPr>
              <w:t xml:space="preserve">Managing performance </w:t>
            </w:r>
          </w:p>
          <w:p w14:paraId="19109218" w14:textId="398021BD" w:rsidR="00F67613" w:rsidRDefault="00F67613" w:rsidP="00F67613">
            <w:pPr>
              <w:pStyle w:val="ListParagraph"/>
              <w:numPr>
                <w:ilvl w:val="0"/>
                <w:numId w:val="7"/>
              </w:numPr>
              <w:tabs>
                <w:tab w:val="left" w:pos="462"/>
              </w:tabs>
              <w:ind w:left="462" w:hanging="102"/>
              <w:rPr>
                <w:sz w:val="18"/>
                <w:szCs w:val="18"/>
              </w:rPr>
            </w:pPr>
            <w:r>
              <w:rPr>
                <w:sz w:val="18"/>
                <w:szCs w:val="18"/>
              </w:rPr>
              <w:t xml:space="preserve">Evaluation </w:t>
            </w:r>
          </w:p>
          <w:p w14:paraId="039B271B" w14:textId="77777777" w:rsidR="00F67613" w:rsidRDefault="00F67613" w:rsidP="00F67613">
            <w:pPr>
              <w:pStyle w:val="ListParagraph"/>
              <w:tabs>
                <w:tab w:val="left" w:pos="462"/>
              </w:tabs>
              <w:ind w:left="462"/>
              <w:rPr>
                <w:sz w:val="18"/>
                <w:szCs w:val="18"/>
              </w:rPr>
            </w:pPr>
          </w:p>
          <w:p w14:paraId="5BDC419E" w14:textId="329602AF" w:rsidR="00F67613" w:rsidRDefault="000456CE" w:rsidP="00F67613">
            <w:pPr>
              <w:tabs>
                <w:tab w:val="left" w:pos="462"/>
              </w:tabs>
              <w:rPr>
                <w:sz w:val="18"/>
                <w:szCs w:val="18"/>
              </w:rPr>
            </w:pPr>
            <w:r>
              <w:rPr>
                <w:sz w:val="18"/>
                <w:szCs w:val="18"/>
              </w:rPr>
              <w:t>The framework also</w:t>
            </w:r>
            <w:r w:rsidR="00634772">
              <w:rPr>
                <w:sz w:val="18"/>
                <w:szCs w:val="18"/>
              </w:rPr>
              <w:t xml:space="preserve"> includes</w:t>
            </w:r>
            <w:r w:rsidR="00F67613">
              <w:rPr>
                <w:sz w:val="18"/>
                <w:szCs w:val="18"/>
              </w:rPr>
              <w:t xml:space="preserve"> a fourth element </w:t>
            </w:r>
          </w:p>
          <w:p w14:paraId="23FFBC28" w14:textId="24E202F4" w:rsidR="00F67613" w:rsidRDefault="00F67613" w:rsidP="00F67613">
            <w:pPr>
              <w:tabs>
                <w:tab w:val="left" w:pos="462"/>
              </w:tabs>
              <w:rPr>
                <w:sz w:val="18"/>
                <w:szCs w:val="18"/>
              </w:rPr>
            </w:pPr>
          </w:p>
          <w:p w14:paraId="0D981BDE" w14:textId="7402A35F" w:rsidR="00F67613" w:rsidRPr="00F605AA" w:rsidRDefault="00F67613" w:rsidP="00F67613">
            <w:pPr>
              <w:tabs>
                <w:tab w:val="left" w:pos="462"/>
              </w:tabs>
              <w:rPr>
                <w:b/>
                <w:bCs/>
                <w:sz w:val="18"/>
                <w:szCs w:val="18"/>
              </w:rPr>
            </w:pPr>
            <w:r w:rsidRPr="00F605AA">
              <w:rPr>
                <w:b/>
                <w:bCs/>
                <w:sz w:val="18"/>
                <w:szCs w:val="18"/>
              </w:rPr>
              <w:t xml:space="preserve">Capability </w:t>
            </w:r>
          </w:p>
          <w:p w14:paraId="24427C2F" w14:textId="2532CA1F" w:rsidR="00F67613" w:rsidRDefault="00F67613" w:rsidP="00F67613">
            <w:pPr>
              <w:pStyle w:val="ListParagraph"/>
              <w:numPr>
                <w:ilvl w:val="0"/>
                <w:numId w:val="7"/>
              </w:numPr>
              <w:tabs>
                <w:tab w:val="left" w:pos="462"/>
              </w:tabs>
              <w:rPr>
                <w:sz w:val="18"/>
                <w:szCs w:val="18"/>
              </w:rPr>
            </w:pPr>
            <w:r>
              <w:rPr>
                <w:sz w:val="18"/>
                <w:szCs w:val="18"/>
              </w:rPr>
              <w:t>Capacity</w:t>
            </w:r>
          </w:p>
          <w:p w14:paraId="2880D138" w14:textId="0028D500" w:rsidR="00F67613" w:rsidRPr="00F67613" w:rsidRDefault="00F67613" w:rsidP="00F67613">
            <w:pPr>
              <w:pStyle w:val="ListParagraph"/>
              <w:numPr>
                <w:ilvl w:val="0"/>
                <w:numId w:val="7"/>
              </w:numPr>
              <w:tabs>
                <w:tab w:val="left" w:pos="462"/>
              </w:tabs>
              <w:rPr>
                <w:sz w:val="18"/>
                <w:szCs w:val="18"/>
              </w:rPr>
            </w:pPr>
            <w:r>
              <w:rPr>
                <w:sz w:val="18"/>
                <w:szCs w:val="18"/>
              </w:rPr>
              <w:t xml:space="preserve">Training and Development </w:t>
            </w:r>
          </w:p>
          <w:p w14:paraId="202874A0" w14:textId="66E62283" w:rsidR="00F67613" w:rsidRDefault="00F67613" w:rsidP="00F67613">
            <w:pPr>
              <w:tabs>
                <w:tab w:val="left" w:pos="462"/>
              </w:tabs>
              <w:rPr>
                <w:sz w:val="18"/>
                <w:szCs w:val="18"/>
              </w:rPr>
            </w:pPr>
          </w:p>
          <w:p w14:paraId="168098AC" w14:textId="2BCE3087" w:rsidR="00F67613" w:rsidRPr="00F67613" w:rsidRDefault="00F67613" w:rsidP="00F67613">
            <w:pPr>
              <w:tabs>
                <w:tab w:val="left" w:pos="462"/>
              </w:tabs>
              <w:rPr>
                <w:sz w:val="18"/>
                <w:szCs w:val="18"/>
              </w:rPr>
            </w:pPr>
          </w:p>
        </w:tc>
      </w:tr>
      <w:tr w:rsidR="00407AEE" w:rsidRPr="005E5CE7" w14:paraId="30F4D0F8" w14:textId="77777777" w:rsidTr="00407AEE">
        <w:tc>
          <w:tcPr>
            <w:tcW w:w="1980" w:type="dxa"/>
            <w:tcBorders>
              <w:right w:val="single" w:sz="4" w:space="0" w:color="auto"/>
            </w:tcBorders>
          </w:tcPr>
          <w:p w14:paraId="5BDEDD5A" w14:textId="17171ACF" w:rsidR="00D13011" w:rsidRPr="000456CE" w:rsidRDefault="00D13011" w:rsidP="00D13011">
            <w:pPr>
              <w:rPr>
                <w:b/>
                <w:bCs/>
                <w:sz w:val="18"/>
                <w:szCs w:val="18"/>
              </w:rPr>
            </w:pPr>
            <w:r w:rsidRPr="000456CE">
              <w:rPr>
                <w:b/>
                <w:bCs/>
                <w:sz w:val="18"/>
                <w:szCs w:val="18"/>
              </w:rPr>
              <w:t>Usefulness</w:t>
            </w:r>
          </w:p>
          <w:p w14:paraId="34BFA46B" w14:textId="52B744FF" w:rsidR="00D13011" w:rsidRDefault="00D13011" w:rsidP="00D13011">
            <w:pPr>
              <w:rPr>
                <w:sz w:val="18"/>
                <w:szCs w:val="18"/>
              </w:rPr>
            </w:pPr>
          </w:p>
        </w:tc>
        <w:tc>
          <w:tcPr>
            <w:tcW w:w="3969" w:type="dxa"/>
            <w:tcBorders>
              <w:left w:val="single" w:sz="4" w:space="0" w:color="auto"/>
            </w:tcBorders>
          </w:tcPr>
          <w:p w14:paraId="1299D78E" w14:textId="77777777" w:rsidR="00D13011" w:rsidRPr="00760F96" w:rsidRDefault="00D13011" w:rsidP="00D13011">
            <w:pPr>
              <w:pStyle w:val="NormalWeb"/>
              <w:rPr>
                <w:rFonts w:asciiTheme="majorHAnsi" w:hAnsiTheme="majorHAnsi" w:cstheme="majorHAnsi"/>
                <w:sz w:val="18"/>
                <w:szCs w:val="18"/>
              </w:rPr>
            </w:pPr>
            <w:r w:rsidRPr="00760F96">
              <w:rPr>
                <w:rFonts w:asciiTheme="majorHAnsi" w:hAnsiTheme="majorHAnsi" w:cstheme="majorHAnsi"/>
                <w:sz w:val="18"/>
                <w:szCs w:val="18"/>
              </w:rPr>
              <w:t xml:space="preserve">The Framework is useful as a starting point in understanding </w:t>
            </w:r>
          </w:p>
          <w:p w14:paraId="37137A75" w14:textId="49AD260F" w:rsidR="00D13011" w:rsidRPr="00760F96" w:rsidRDefault="00D13011" w:rsidP="00D13011">
            <w:pPr>
              <w:pStyle w:val="NormalWeb"/>
              <w:rPr>
                <w:rFonts w:asciiTheme="majorHAnsi" w:hAnsiTheme="majorHAnsi" w:cstheme="majorHAnsi"/>
                <w:sz w:val="18"/>
                <w:szCs w:val="18"/>
              </w:rPr>
            </w:pPr>
            <w:r w:rsidRPr="00760F96">
              <w:rPr>
                <w:rFonts w:asciiTheme="majorHAnsi" w:hAnsiTheme="majorHAnsi" w:cstheme="majorHAnsi"/>
                <w:sz w:val="18"/>
                <w:szCs w:val="18"/>
              </w:rPr>
              <w:t xml:space="preserve">It can be used to inform thinking about the development of interventions that try to address the complex contributors to health inequity. </w:t>
            </w:r>
          </w:p>
        </w:tc>
        <w:tc>
          <w:tcPr>
            <w:tcW w:w="3969" w:type="dxa"/>
          </w:tcPr>
          <w:p w14:paraId="014DAF54" w14:textId="5BD1797B" w:rsidR="00D13011" w:rsidRPr="00760F96" w:rsidRDefault="00D13011" w:rsidP="00D13011">
            <w:pPr>
              <w:rPr>
                <w:rFonts w:asciiTheme="majorHAnsi" w:hAnsiTheme="majorHAnsi" w:cstheme="majorHAnsi"/>
                <w:sz w:val="18"/>
                <w:szCs w:val="18"/>
              </w:rPr>
            </w:pPr>
            <w:r w:rsidRPr="00760F96">
              <w:rPr>
                <w:rFonts w:asciiTheme="majorHAnsi" w:hAnsiTheme="majorHAnsi" w:cstheme="majorHAnsi"/>
                <w:color w:val="002639"/>
                <w:sz w:val="18"/>
                <w:szCs w:val="18"/>
                <w:shd w:val="clear" w:color="auto" w:fill="FFFFFF"/>
              </w:rPr>
              <w:t>This publication is an essential guide for those working in the health and disability to apply a strong equity focus to their work.</w:t>
            </w:r>
          </w:p>
        </w:tc>
        <w:tc>
          <w:tcPr>
            <w:tcW w:w="3969" w:type="dxa"/>
          </w:tcPr>
          <w:p w14:paraId="0C1C7CAE" w14:textId="26F0F641" w:rsidR="00D13011" w:rsidRDefault="00D13011" w:rsidP="00D13011">
            <w:pPr>
              <w:pStyle w:val="ListParagraph"/>
              <w:ind w:left="91"/>
              <w:rPr>
                <w:rFonts w:asciiTheme="majorHAnsi" w:hAnsiTheme="majorHAnsi" w:cstheme="majorHAnsi"/>
                <w:sz w:val="18"/>
                <w:szCs w:val="18"/>
              </w:rPr>
            </w:pPr>
            <w:r>
              <w:rPr>
                <w:rFonts w:asciiTheme="majorHAnsi" w:hAnsiTheme="majorHAnsi" w:cstheme="majorHAnsi"/>
                <w:sz w:val="18"/>
                <w:szCs w:val="18"/>
              </w:rPr>
              <w:t xml:space="preserve">HIA is a flexible approach that can be modified to fit a specific context and task being assessed.  It is scalable – mini, rapid, intermediate, comprehensive – </w:t>
            </w:r>
            <w:r w:rsidR="00F67613">
              <w:rPr>
                <w:rFonts w:asciiTheme="majorHAnsi" w:hAnsiTheme="majorHAnsi" w:cstheme="majorHAnsi"/>
                <w:sz w:val="18"/>
                <w:szCs w:val="18"/>
              </w:rPr>
              <w:t>considering</w:t>
            </w:r>
            <w:r>
              <w:rPr>
                <w:rFonts w:asciiTheme="majorHAnsi" w:hAnsiTheme="majorHAnsi" w:cstheme="majorHAnsi"/>
                <w:sz w:val="18"/>
                <w:szCs w:val="18"/>
              </w:rPr>
              <w:t xml:space="preserve"> timeframes, budgets and resource available. </w:t>
            </w:r>
          </w:p>
          <w:p w14:paraId="49E060B6" w14:textId="77777777" w:rsidR="00D13011" w:rsidRDefault="00D13011" w:rsidP="00D13011">
            <w:pPr>
              <w:pStyle w:val="ListParagraph"/>
              <w:ind w:left="91"/>
              <w:rPr>
                <w:rFonts w:asciiTheme="majorHAnsi" w:hAnsiTheme="majorHAnsi" w:cstheme="majorHAnsi"/>
                <w:sz w:val="18"/>
                <w:szCs w:val="18"/>
              </w:rPr>
            </w:pPr>
          </w:p>
          <w:p w14:paraId="1C4BCE4F" w14:textId="3EB012E5" w:rsidR="00D13011" w:rsidRPr="00760F96" w:rsidRDefault="00D13011" w:rsidP="00D13011">
            <w:pPr>
              <w:pStyle w:val="ListParagraph"/>
              <w:ind w:left="91"/>
              <w:rPr>
                <w:rFonts w:asciiTheme="majorHAnsi" w:hAnsiTheme="majorHAnsi" w:cstheme="majorHAnsi"/>
                <w:sz w:val="18"/>
                <w:szCs w:val="18"/>
              </w:rPr>
            </w:pPr>
            <w:r>
              <w:rPr>
                <w:rFonts w:asciiTheme="majorHAnsi" w:hAnsiTheme="majorHAnsi" w:cstheme="majorHAnsi"/>
                <w:sz w:val="18"/>
                <w:szCs w:val="18"/>
              </w:rPr>
              <w:t xml:space="preserve">While it is mostly used in other sectors, the methodology is robust and can be applied in the health sector at both a policy and project level. </w:t>
            </w:r>
          </w:p>
        </w:tc>
        <w:tc>
          <w:tcPr>
            <w:tcW w:w="4111" w:type="dxa"/>
          </w:tcPr>
          <w:p w14:paraId="2336674C" w14:textId="7A42B1C7" w:rsidR="00D13011" w:rsidRPr="005F02D2" w:rsidRDefault="005F02D2" w:rsidP="00D13011">
            <w:pPr>
              <w:rPr>
                <w:rFonts w:asciiTheme="majorHAnsi" w:hAnsiTheme="majorHAnsi" w:cstheme="majorHAnsi"/>
                <w:sz w:val="18"/>
                <w:szCs w:val="18"/>
              </w:rPr>
            </w:pPr>
            <w:r w:rsidRPr="005F02D2">
              <w:rPr>
                <w:rFonts w:asciiTheme="majorHAnsi" w:hAnsiTheme="majorHAnsi" w:cstheme="majorHAnsi"/>
                <w:sz w:val="18"/>
                <w:szCs w:val="18"/>
              </w:rPr>
              <w:t xml:space="preserve">The framework can be used by all parts of the health sector:  </w:t>
            </w:r>
            <w:r w:rsidRPr="005F02D2">
              <w:rPr>
                <w:rFonts w:asciiTheme="majorHAnsi" w:hAnsiTheme="majorHAnsi" w:cstheme="majorHAnsi"/>
                <w:b/>
                <w:bCs/>
                <w:sz w:val="18"/>
                <w:szCs w:val="18"/>
              </w:rPr>
              <w:t>health system agencie</w:t>
            </w:r>
            <w:r w:rsidRPr="005F02D2">
              <w:rPr>
                <w:rFonts w:asciiTheme="majorHAnsi" w:hAnsiTheme="majorHAnsi" w:cstheme="majorHAnsi"/>
                <w:sz w:val="18"/>
                <w:szCs w:val="18"/>
              </w:rPr>
              <w:t xml:space="preserve">s like PHARMAC, the Ministry of Health and regulatory authorities, </w:t>
            </w:r>
            <w:r w:rsidRPr="005F02D2">
              <w:rPr>
                <w:rFonts w:asciiTheme="majorHAnsi" w:hAnsiTheme="majorHAnsi" w:cstheme="majorHAnsi"/>
                <w:b/>
                <w:bCs/>
                <w:sz w:val="18"/>
                <w:szCs w:val="18"/>
              </w:rPr>
              <w:t xml:space="preserve">health organisations: </w:t>
            </w:r>
            <w:r w:rsidRPr="005F02D2">
              <w:rPr>
                <w:rFonts w:asciiTheme="majorHAnsi" w:hAnsiTheme="majorHAnsi" w:cstheme="majorHAnsi"/>
                <w:sz w:val="18"/>
                <w:szCs w:val="18"/>
              </w:rPr>
              <w:t xml:space="preserve"> DHBs, PHOs, and other health providers and </w:t>
            </w:r>
            <w:r w:rsidRPr="005F02D2">
              <w:rPr>
                <w:rFonts w:asciiTheme="majorHAnsi" w:hAnsiTheme="majorHAnsi" w:cstheme="majorHAnsi"/>
                <w:b/>
                <w:bCs/>
                <w:sz w:val="18"/>
                <w:szCs w:val="18"/>
              </w:rPr>
              <w:t xml:space="preserve">health practitioners: </w:t>
            </w:r>
            <w:r w:rsidRPr="005F02D2">
              <w:rPr>
                <w:rFonts w:asciiTheme="majorHAnsi" w:hAnsiTheme="majorHAnsi" w:cstheme="majorHAnsi"/>
                <w:sz w:val="18"/>
                <w:szCs w:val="18"/>
              </w:rPr>
              <w:t xml:space="preserve"> doctors, nurses and community health workers. </w:t>
            </w:r>
          </w:p>
        </w:tc>
        <w:tc>
          <w:tcPr>
            <w:tcW w:w="4110" w:type="dxa"/>
          </w:tcPr>
          <w:p w14:paraId="79258F3B" w14:textId="29B6C650" w:rsidR="00D13011" w:rsidRDefault="009B26B3" w:rsidP="00D13011">
            <w:pPr>
              <w:rPr>
                <w:sz w:val="18"/>
                <w:szCs w:val="18"/>
              </w:rPr>
            </w:pPr>
            <w:r>
              <w:rPr>
                <w:sz w:val="18"/>
                <w:szCs w:val="18"/>
              </w:rPr>
              <w:t xml:space="preserve">The Framework is </w:t>
            </w:r>
            <w:r w:rsidR="00634772">
              <w:rPr>
                <w:sz w:val="18"/>
                <w:szCs w:val="18"/>
              </w:rPr>
              <w:t xml:space="preserve">being used </w:t>
            </w:r>
            <w:r w:rsidR="00711D2D">
              <w:rPr>
                <w:sz w:val="18"/>
                <w:szCs w:val="18"/>
              </w:rPr>
              <w:t>by the</w:t>
            </w:r>
            <w:r>
              <w:rPr>
                <w:sz w:val="18"/>
                <w:szCs w:val="18"/>
              </w:rPr>
              <w:t xml:space="preserve"> Central Region DHBs HR teams to develop recruitment and retention strategies, equity competencies, training programmes and performance </w:t>
            </w:r>
            <w:r w:rsidR="00711D2D">
              <w:rPr>
                <w:sz w:val="18"/>
                <w:szCs w:val="18"/>
              </w:rPr>
              <w:t>reviews that</w:t>
            </w:r>
            <w:r w:rsidR="00634772">
              <w:rPr>
                <w:sz w:val="18"/>
                <w:szCs w:val="18"/>
              </w:rPr>
              <w:t xml:space="preserve"> are focused on building equity capability in DHB staff.</w:t>
            </w:r>
          </w:p>
        </w:tc>
      </w:tr>
      <w:tr w:rsidR="00407AEE" w:rsidRPr="005E5CE7" w14:paraId="0FDC6D3C" w14:textId="77777777" w:rsidTr="00407AEE">
        <w:tc>
          <w:tcPr>
            <w:tcW w:w="1980" w:type="dxa"/>
            <w:tcBorders>
              <w:right w:val="single" w:sz="4" w:space="0" w:color="auto"/>
            </w:tcBorders>
          </w:tcPr>
          <w:p w14:paraId="50870DB0" w14:textId="394C4C16" w:rsidR="00D13011" w:rsidRPr="000456CE" w:rsidRDefault="00D13011" w:rsidP="00D13011">
            <w:pPr>
              <w:rPr>
                <w:b/>
                <w:bCs/>
                <w:sz w:val="18"/>
                <w:szCs w:val="18"/>
              </w:rPr>
            </w:pPr>
            <w:r w:rsidRPr="000456CE">
              <w:rPr>
                <w:b/>
                <w:bCs/>
                <w:sz w:val="18"/>
                <w:szCs w:val="18"/>
              </w:rPr>
              <w:lastRenderedPageBreak/>
              <w:t>Are there examples of it being used or adapted</w:t>
            </w:r>
            <w:r w:rsidR="009B26B3" w:rsidRPr="000456CE">
              <w:rPr>
                <w:b/>
                <w:bCs/>
                <w:sz w:val="18"/>
                <w:szCs w:val="18"/>
              </w:rPr>
              <w:t>?</w:t>
            </w:r>
          </w:p>
        </w:tc>
        <w:tc>
          <w:tcPr>
            <w:tcW w:w="3969" w:type="dxa"/>
            <w:tcBorders>
              <w:left w:val="single" w:sz="4" w:space="0" w:color="auto"/>
            </w:tcBorders>
          </w:tcPr>
          <w:p w14:paraId="6825044F" w14:textId="0A540D66" w:rsidR="00D13011" w:rsidRPr="00760F96" w:rsidRDefault="00F04EE1" w:rsidP="00D13011">
            <w:pPr>
              <w:rPr>
                <w:rFonts w:asciiTheme="majorHAnsi" w:hAnsiTheme="majorHAnsi" w:cstheme="majorHAnsi"/>
                <w:sz w:val="18"/>
                <w:szCs w:val="18"/>
              </w:rPr>
            </w:pPr>
            <w:r>
              <w:rPr>
                <w:rFonts w:asciiTheme="majorHAnsi" w:hAnsiTheme="majorHAnsi" w:cstheme="majorHAnsi"/>
                <w:sz w:val="18"/>
                <w:szCs w:val="18"/>
              </w:rPr>
              <w:t xml:space="preserve">Used in DHB accountability and planning documents in conjunction with the HEAT Tool. </w:t>
            </w:r>
          </w:p>
        </w:tc>
        <w:tc>
          <w:tcPr>
            <w:tcW w:w="3969" w:type="dxa"/>
          </w:tcPr>
          <w:p w14:paraId="6F232FB3" w14:textId="022FDA72" w:rsidR="00D13011" w:rsidRPr="00760F96" w:rsidRDefault="00D13011" w:rsidP="00D13011">
            <w:pPr>
              <w:rPr>
                <w:rFonts w:asciiTheme="majorHAnsi" w:hAnsiTheme="majorHAnsi" w:cstheme="majorHAnsi"/>
                <w:sz w:val="18"/>
                <w:szCs w:val="18"/>
              </w:rPr>
            </w:pPr>
            <w:r w:rsidRPr="00760F96">
              <w:rPr>
                <w:rFonts w:asciiTheme="majorHAnsi" w:hAnsiTheme="majorHAnsi" w:cstheme="majorHAnsi"/>
                <w:sz w:val="18"/>
                <w:szCs w:val="18"/>
              </w:rPr>
              <w:t>Yes – the guide provides examples</w:t>
            </w:r>
          </w:p>
        </w:tc>
        <w:tc>
          <w:tcPr>
            <w:tcW w:w="3969" w:type="dxa"/>
          </w:tcPr>
          <w:p w14:paraId="21CBDA87" w14:textId="08115C2B" w:rsidR="00D13011" w:rsidRDefault="00D13011" w:rsidP="00D13011">
            <w:pPr>
              <w:rPr>
                <w:rFonts w:asciiTheme="majorHAnsi" w:hAnsiTheme="majorHAnsi" w:cstheme="majorHAnsi"/>
                <w:sz w:val="18"/>
                <w:szCs w:val="18"/>
              </w:rPr>
            </w:pPr>
            <w:r>
              <w:rPr>
                <w:rFonts w:asciiTheme="majorHAnsi" w:hAnsiTheme="majorHAnsi" w:cstheme="majorHAnsi"/>
                <w:sz w:val="18"/>
                <w:szCs w:val="18"/>
              </w:rPr>
              <w:t xml:space="preserve">Examples of the WOHIA training </w:t>
            </w:r>
            <w:r w:rsidR="00F67613">
              <w:rPr>
                <w:rFonts w:asciiTheme="majorHAnsi" w:hAnsiTheme="majorHAnsi" w:cstheme="majorHAnsi"/>
                <w:sz w:val="18"/>
                <w:szCs w:val="18"/>
              </w:rPr>
              <w:t>programmes</w:t>
            </w:r>
            <w:r>
              <w:rPr>
                <w:rFonts w:asciiTheme="majorHAnsi" w:hAnsiTheme="majorHAnsi" w:cstheme="majorHAnsi"/>
                <w:sz w:val="18"/>
                <w:szCs w:val="18"/>
              </w:rPr>
              <w:t xml:space="preserve">: </w:t>
            </w:r>
          </w:p>
          <w:p w14:paraId="248B3C2B" w14:textId="77777777" w:rsidR="00D13011" w:rsidRDefault="00D13011" w:rsidP="004C16E2">
            <w:pPr>
              <w:pStyle w:val="ListParagraph"/>
              <w:numPr>
                <w:ilvl w:val="0"/>
                <w:numId w:val="4"/>
              </w:numPr>
              <w:ind w:left="463" w:hanging="283"/>
              <w:rPr>
                <w:rFonts w:asciiTheme="majorHAnsi" w:hAnsiTheme="majorHAnsi" w:cstheme="majorHAnsi"/>
                <w:sz w:val="18"/>
                <w:szCs w:val="18"/>
              </w:rPr>
            </w:pPr>
            <w:r w:rsidRPr="00272343">
              <w:rPr>
                <w:rFonts w:asciiTheme="majorHAnsi" w:hAnsiTheme="majorHAnsi" w:cstheme="majorHAnsi"/>
                <w:sz w:val="18"/>
                <w:szCs w:val="18"/>
              </w:rPr>
              <w:t xml:space="preserve">Northland DHB Prioritisation Policy Whanau Ora HIA, </w:t>
            </w:r>
          </w:p>
          <w:p w14:paraId="0C901045" w14:textId="77777777" w:rsidR="00D13011" w:rsidRDefault="00D13011" w:rsidP="00D13011">
            <w:pPr>
              <w:pStyle w:val="ListParagraph"/>
              <w:numPr>
                <w:ilvl w:val="0"/>
                <w:numId w:val="4"/>
              </w:numPr>
              <w:ind w:left="434" w:hanging="283"/>
              <w:rPr>
                <w:rFonts w:asciiTheme="majorHAnsi" w:hAnsiTheme="majorHAnsi" w:cstheme="majorHAnsi"/>
                <w:sz w:val="18"/>
                <w:szCs w:val="18"/>
              </w:rPr>
            </w:pPr>
            <w:r>
              <w:rPr>
                <w:rFonts w:asciiTheme="majorHAnsi" w:hAnsiTheme="majorHAnsi" w:cstheme="majorHAnsi"/>
                <w:sz w:val="18"/>
                <w:szCs w:val="18"/>
              </w:rPr>
              <w:t>Cultural and Clinical Nursing Support and Nursing support and training programme</w:t>
            </w:r>
          </w:p>
          <w:p w14:paraId="6468AA09" w14:textId="2444913D" w:rsidR="0061044C" w:rsidRPr="0061044C" w:rsidRDefault="0061044C" w:rsidP="0061044C">
            <w:pPr>
              <w:pStyle w:val="ListParagraph"/>
              <w:numPr>
                <w:ilvl w:val="0"/>
                <w:numId w:val="4"/>
              </w:numPr>
              <w:ind w:left="434" w:hanging="283"/>
              <w:rPr>
                <w:rFonts w:asciiTheme="majorHAnsi" w:hAnsiTheme="majorHAnsi" w:cstheme="majorHAnsi"/>
                <w:sz w:val="18"/>
                <w:szCs w:val="18"/>
              </w:rPr>
            </w:pPr>
            <w:hyperlink r:id="rId10" w:history="1">
              <w:r w:rsidR="00D13011" w:rsidRPr="0061044C">
                <w:rPr>
                  <w:rStyle w:val="Hyperlink"/>
                  <w:rFonts w:asciiTheme="majorHAnsi" w:hAnsiTheme="majorHAnsi" w:cstheme="majorHAnsi"/>
                  <w:sz w:val="18"/>
                  <w:szCs w:val="18"/>
                </w:rPr>
                <w:t>Draft Wairarapa Alcohol Strategy</w:t>
              </w:r>
            </w:hyperlink>
          </w:p>
          <w:p w14:paraId="18D72C9D" w14:textId="77777777" w:rsidR="00D13011" w:rsidRDefault="00D13011" w:rsidP="00D13011">
            <w:pPr>
              <w:pStyle w:val="ListParagraph"/>
              <w:numPr>
                <w:ilvl w:val="0"/>
                <w:numId w:val="4"/>
              </w:numPr>
              <w:ind w:left="434" w:hanging="283"/>
              <w:rPr>
                <w:rFonts w:asciiTheme="majorHAnsi" w:hAnsiTheme="majorHAnsi" w:cstheme="majorHAnsi"/>
                <w:sz w:val="18"/>
                <w:szCs w:val="18"/>
              </w:rPr>
            </w:pPr>
            <w:r>
              <w:rPr>
                <w:rFonts w:asciiTheme="majorHAnsi" w:hAnsiTheme="majorHAnsi" w:cstheme="majorHAnsi"/>
                <w:sz w:val="18"/>
                <w:szCs w:val="18"/>
              </w:rPr>
              <w:t xml:space="preserve">Location of the New Plymouth Oral Health Facility </w:t>
            </w:r>
          </w:p>
          <w:p w14:paraId="33E9E089" w14:textId="58803A42" w:rsidR="00D13011" w:rsidRPr="00760F96" w:rsidRDefault="00D13011" w:rsidP="00D13011">
            <w:pPr>
              <w:rPr>
                <w:rFonts w:asciiTheme="majorHAnsi" w:hAnsiTheme="majorHAnsi" w:cstheme="majorHAnsi"/>
                <w:sz w:val="18"/>
                <w:szCs w:val="18"/>
              </w:rPr>
            </w:pPr>
          </w:p>
        </w:tc>
        <w:tc>
          <w:tcPr>
            <w:tcW w:w="4111" w:type="dxa"/>
          </w:tcPr>
          <w:p w14:paraId="32CC9892" w14:textId="16B85615" w:rsidR="00D13011" w:rsidRDefault="00857AD3" w:rsidP="00D13011">
            <w:pPr>
              <w:rPr>
                <w:rFonts w:asciiTheme="majorHAnsi" w:hAnsiTheme="majorHAnsi" w:cstheme="majorHAnsi"/>
                <w:sz w:val="18"/>
                <w:szCs w:val="18"/>
              </w:rPr>
            </w:pPr>
            <w:r>
              <w:rPr>
                <w:rFonts w:asciiTheme="majorHAnsi" w:hAnsiTheme="majorHAnsi" w:cstheme="majorHAnsi"/>
                <w:sz w:val="18"/>
                <w:szCs w:val="18"/>
              </w:rPr>
              <w:t xml:space="preserve">It has been adapted to develop the Central Region DHBs Equity Framework. </w:t>
            </w:r>
          </w:p>
          <w:p w14:paraId="38CB1083" w14:textId="614543DC" w:rsidR="009B26B3" w:rsidRDefault="009B26B3" w:rsidP="00D13011">
            <w:pPr>
              <w:rPr>
                <w:rFonts w:asciiTheme="majorHAnsi" w:hAnsiTheme="majorHAnsi" w:cstheme="majorHAnsi"/>
                <w:sz w:val="18"/>
                <w:szCs w:val="18"/>
              </w:rPr>
            </w:pPr>
          </w:p>
          <w:p w14:paraId="394939B2" w14:textId="1F1299C2" w:rsidR="009B26B3" w:rsidRDefault="009B26B3" w:rsidP="00D13011">
            <w:pPr>
              <w:rPr>
                <w:rFonts w:asciiTheme="majorHAnsi" w:hAnsiTheme="majorHAnsi" w:cstheme="majorHAnsi"/>
                <w:sz w:val="18"/>
                <w:szCs w:val="18"/>
              </w:rPr>
            </w:pPr>
            <w:r>
              <w:rPr>
                <w:rFonts w:asciiTheme="majorHAnsi" w:hAnsiTheme="majorHAnsi" w:cstheme="majorHAnsi"/>
                <w:sz w:val="18"/>
                <w:szCs w:val="18"/>
              </w:rPr>
              <w:t xml:space="preserve">It is very adaptable </w:t>
            </w:r>
          </w:p>
          <w:p w14:paraId="73830795" w14:textId="77777777" w:rsidR="00F67613" w:rsidRDefault="00F67613" w:rsidP="00D13011">
            <w:pPr>
              <w:rPr>
                <w:rFonts w:asciiTheme="majorHAnsi" w:hAnsiTheme="majorHAnsi" w:cstheme="majorHAnsi"/>
                <w:sz w:val="18"/>
                <w:szCs w:val="18"/>
              </w:rPr>
            </w:pPr>
          </w:p>
          <w:p w14:paraId="2E57C103" w14:textId="6E05E730" w:rsidR="00F67613" w:rsidRPr="005F02D2" w:rsidRDefault="00F67613" w:rsidP="00D13011">
            <w:pPr>
              <w:rPr>
                <w:rFonts w:asciiTheme="majorHAnsi" w:hAnsiTheme="majorHAnsi" w:cstheme="majorHAnsi"/>
                <w:sz w:val="18"/>
                <w:szCs w:val="18"/>
              </w:rPr>
            </w:pPr>
          </w:p>
        </w:tc>
        <w:tc>
          <w:tcPr>
            <w:tcW w:w="4110" w:type="dxa"/>
          </w:tcPr>
          <w:p w14:paraId="57BD3A62" w14:textId="77777777" w:rsidR="00D13011" w:rsidRDefault="009B26B3" w:rsidP="00D13011">
            <w:pPr>
              <w:rPr>
                <w:sz w:val="18"/>
                <w:szCs w:val="18"/>
              </w:rPr>
            </w:pPr>
            <w:r>
              <w:rPr>
                <w:sz w:val="18"/>
                <w:szCs w:val="18"/>
              </w:rPr>
              <w:t xml:space="preserve">The Framework is being used to strengthen the CRDHB regional plans.  </w:t>
            </w:r>
          </w:p>
          <w:p w14:paraId="66F31A11" w14:textId="77777777" w:rsidR="009B26B3" w:rsidRDefault="009B26B3" w:rsidP="00D13011">
            <w:pPr>
              <w:rPr>
                <w:sz w:val="18"/>
                <w:szCs w:val="18"/>
              </w:rPr>
            </w:pPr>
          </w:p>
          <w:p w14:paraId="77945060" w14:textId="448C6E34" w:rsidR="009B26B3" w:rsidRDefault="009B26B3" w:rsidP="00D13011">
            <w:pPr>
              <w:rPr>
                <w:sz w:val="18"/>
                <w:szCs w:val="18"/>
              </w:rPr>
            </w:pPr>
            <w:r>
              <w:rPr>
                <w:sz w:val="18"/>
                <w:szCs w:val="18"/>
              </w:rPr>
              <w:t xml:space="preserve">It was used to inform the </w:t>
            </w:r>
            <w:r w:rsidR="00634772">
              <w:rPr>
                <w:sz w:val="18"/>
                <w:szCs w:val="18"/>
              </w:rPr>
              <w:t xml:space="preserve">review of the </w:t>
            </w:r>
            <w:r>
              <w:rPr>
                <w:sz w:val="18"/>
                <w:szCs w:val="18"/>
              </w:rPr>
              <w:t xml:space="preserve">Health and Disability safety standards </w:t>
            </w:r>
          </w:p>
        </w:tc>
      </w:tr>
      <w:tr w:rsidR="00407AEE" w:rsidRPr="005E5CE7" w14:paraId="15B7DB90" w14:textId="77777777" w:rsidTr="00407AEE">
        <w:tc>
          <w:tcPr>
            <w:tcW w:w="1980" w:type="dxa"/>
            <w:tcBorders>
              <w:right w:val="single" w:sz="4" w:space="0" w:color="auto"/>
            </w:tcBorders>
          </w:tcPr>
          <w:p w14:paraId="73297CA6" w14:textId="7D33E91B" w:rsidR="00D13011" w:rsidRPr="000456CE" w:rsidRDefault="00D13011" w:rsidP="00D13011">
            <w:pPr>
              <w:rPr>
                <w:b/>
                <w:bCs/>
                <w:sz w:val="18"/>
                <w:szCs w:val="18"/>
              </w:rPr>
            </w:pPr>
            <w:r w:rsidRPr="000456CE">
              <w:rPr>
                <w:b/>
                <w:bCs/>
                <w:sz w:val="18"/>
                <w:szCs w:val="18"/>
              </w:rPr>
              <w:t xml:space="preserve">Score of usefulness </w:t>
            </w:r>
          </w:p>
        </w:tc>
        <w:tc>
          <w:tcPr>
            <w:tcW w:w="3969" w:type="dxa"/>
            <w:tcBorders>
              <w:left w:val="single" w:sz="4" w:space="0" w:color="auto"/>
            </w:tcBorders>
          </w:tcPr>
          <w:p w14:paraId="199FEDA2" w14:textId="7B6C18BA" w:rsidR="00D13011" w:rsidRPr="00760F96" w:rsidRDefault="00D13011" w:rsidP="00D13011">
            <w:pPr>
              <w:jc w:val="center"/>
              <w:rPr>
                <w:rFonts w:asciiTheme="majorHAnsi" w:hAnsiTheme="majorHAnsi" w:cstheme="majorHAnsi"/>
                <w:sz w:val="18"/>
                <w:szCs w:val="18"/>
              </w:rPr>
            </w:pPr>
            <w:r w:rsidRPr="00760F96">
              <w:rPr>
                <w:rFonts w:asciiTheme="majorHAnsi" w:hAnsiTheme="majorHAnsi" w:cstheme="majorHAnsi"/>
                <w:sz w:val="18"/>
                <w:szCs w:val="18"/>
              </w:rPr>
              <w:t>4</w:t>
            </w:r>
          </w:p>
        </w:tc>
        <w:tc>
          <w:tcPr>
            <w:tcW w:w="3969" w:type="dxa"/>
          </w:tcPr>
          <w:p w14:paraId="276C271C" w14:textId="26A344E4" w:rsidR="00D13011" w:rsidRPr="00760F96" w:rsidRDefault="00D13011" w:rsidP="00D13011">
            <w:pPr>
              <w:jc w:val="center"/>
              <w:rPr>
                <w:rFonts w:asciiTheme="majorHAnsi" w:hAnsiTheme="majorHAnsi" w:cstheme="majorHAnsi"/>
                <w:sz w:val="18"/>
                <w:szCs w:val="18"/>
              </w:rPr>
            </w:pPr>
            <w:r w:rsidRPr="00760F96">
              <w:rPr>
                <w:rFonts w:asciiTheme="majorHAnsi" w:hAnsiTheme="majorHAnsi" w:cstheme="majorHAnsi"/>
                <w:sz w:val="18"/>
                <w:szCs w:val="18"/>
              </w:rPr>
              <w:t>8</w:t>
            </w:r>
          </w:p>
        </w:tc>
        <w:tc>
          <w:tcPr>
            <w:tcW w:w="3969" w:type="dxa"/>
          </w:tcPr>
          <w:p w14:paraId="7B252D0B" w14:textId="609699CC" w:rsidR="00D13011" w:rsidRPr="00760F96" w:rsidRDefault="00D13011" w:rsidP="00D13011">
            <w:pPr>
              <w:jc w:val="center"/>
              <w:rPr>
                <w:rFonts w:asciiTheme="majorHAnsi" w:hAnsiTheme="majorHAnsi" w:cstheme="majorHAnsi"/>
                <w:sz w:val="18"/>
                <w:szCs w:val="18"/>
              </w:rPr>
            </w:pPr>
            <w:r>
              <w:rPr>
                <w:rFonts w:asciiTheme="majorHAnsi" w:hAnsiTheme="majorHAnsi" w:cstheme="majorHAnsi"/>
                <w:sz w:val="18"/>
                <w:szCs w:val="18"/>
              </w:rPr>
              <w:t>7</w:t>
            </w:r>
          </w:p>
        </w:tc>
        <w:tc>
          <w:tcPr>
            <w:tcW w:w="4111" w:type="dxa"/>
          </w:tcPr>
          <w:p w14:paraId="5C3DF0F6" w14:textId="6BAB1AFF" w:rsidR="00D13011" w:rsidRDefault="005F02D2" w:rsidP="00D13011">
            <w:pPr>
              <w:jc w:val="center"/>
              <w:rPr>
                <w:sz w:val="18"/>
                <w:szCs w:val="18"/>
              </w:rPr>
            </w:pPr>
            <w:r>
              <w:rPr>
                <w:sz w:val="18"/>
                <w:szCs w:val="18"/>
              </w:rPr>
              <w:t>8</w:t>
            </w:r>
          </w:p>
        </w:tc>
        <w:tc>
          <w:tcPr>
            <w:tcW w:w="4110" w:type="dxa"/>
          </w:tcPr>
          <w:p w14:paraId="4F51F1D8" w14:textId="73ACFC1C" w:rsidR="00D13011" w:rsidRDefault="009B26B3" w:rsidP="00D13011">
            <w:pPr>
              <w:jc w:val="center"/>
              <w:rPr>
                <w:sz w:val="18"/>
                <w:szCs w:val="18"/>
              </w:rPr>
            </w:pPr>
            <w:r>
              <w:rPr>
                <w:sz w:val="18"/>
                <w:szCs w:val="18"/>
              </w:rPr>
              <w:t>8</w:t>
            </w:r>
          </w:p>
        </w:tc>
      </w:tr>
    </w:tbl>
    <w:p w14:paraId="233B164A" w14:textId="13836CCC" w:rsidR="005E5CE7" w:rsidRDefault="005E5CE7"/>
    <w:p w14:paraId="01C8CE03" w14:textId="5DE18651" w:rsidR="00F605AA" w:rsidRPr="00F605AA" w:rsidRDefault="00F605AA">
      <w:pPr>
        <w:rPr>
          <w:sz w:val="22"/>
          <w:szCs w:val="22"/>
        </w:rPr>
      </w:pPr>
      <w:r>
        <w:rPr>
          <w:sz w:val="22"/>
          <w:szCs w:val="22"/>
        </w:rPr>
        <w:t xml:space="preserve"> </w:t>
      </w:r>
    </w:p>
    <w:sectPr w:rsidR="00F605AA" w:rsidRPr="00F605AA" w:rsidSect="0061044C">
      <w:footerReference w:type="even" r:id="rId11"/>
      <w:footerReference w:type="default" r:id="rId12"/>
      <w:pgSz w:w="23820" w:h="168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041CF" w14:textId="77777777" w:rsidR="00673F72" w:rsidRDefault="00673F72" w:rsidP="003D47F5">
      <w:r>
        <w:separator/>
      </w:r>
    </w:p>
  </w:endnote>
  <w:endnote w:type="continuationSeparator" w:id="0">
    <w:p w14:paraId="058F8388" w14:textId="77777777" w:rsidR="00673F72" w:rsidRDefault="00673F72" w:rsidP="003D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2856012"/>
      <w:docPartObj>
        <w:docPartGallery w:val="Page Numbers (Bottom of Page)"/>
        <w:docPartUnique/>
      </w:docPartObj>
    </w:sdtPr>
    <w:sdtEndPr>
      <w:rPr>
        <w:rStyle w:val="PageNumber"/>
      </w:rPr>
    </w:sdtEndPr>
    <w:sdtContent>
      <w:p w14:paraId="124C1A72" w14:textId="5404CA1A" w:rsidR="003D47F5" w:rsidRDefault="003D47F5" w:rsidP="00AB68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155AE1" w14:textId="77777777" w:rsidR="003D47F5" w:rsidRDefault="003D47F5" w:rsidP="003D47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7159322"/>
      <w:docPartObj>
        <w:docPartGallery w:val="Page Numbers (Bottom of Page)"/>
        <w:docPartUnique/>
      </w:docPartObj>
    </w:sdtPr>
    <w:sdtEndPr>
      <w:rPr>
        <w:rStyle w:val="PageNumber"/>
      </w:rPr>
    </w:sdtEndPr>
    <w:sdtContent>
      <w:p w14:paraId="686E8DC3" w14:textId="1F475A0A" w:rsidR="003D47F5" w:rsidRDefault="003D47F5" w:rsidP="00AB68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91CCE8" w14:textId="77777777" w:rsidR="003D47F5" w:rsidRDefault="003D47F5" w:rsidP="003D47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41297" w14:textId="77777777" w:rsidR="00673F72" w:rsidRDefault="00673F72" w:rsidP="003D47F5">
      <w:r>
        <w:separator/>
      </w:r>
    </w:p>
  </w:footnote>
  <w:footnote w:type="continuationSeparator" w:id="0">
    <w:p w14:paraId="0D3871C4" w14:textId="77777777" w:rsidR="00673F72" w:rsidRDefault="00673F72" w:rsidP="003D4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7097B"/>
    <w:multiLevelType w:val="hybridMultilevel"/>
    <w:tmpl w:val="3DA2E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E4C52"/>
    <w:multiLevelType w:val="hybridMultilevel"/>
    <w:tmpl w:val="70CE1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11E2F"/>
    <w:multiLevelType w:val="hybridMultilevel"/>
    <w:tmpl w:val="3DA2E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47E11"/>
    <w:multiLevelType w:val="multilevel"/>
    <w:tmpl w:val="57F0E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66080A"/>
    <w:multiLevelType w:val="hybridMultilevel"/>
    <w:tmpl w:val="54C2E992"/>
    <w:lvl w:ilvl="0" w:tplc="19622406">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62DD9"/>
    <w:multiLevelType w:val="hybridMultilevel"/>
    <w:tmpl w:val="1640D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DF7CCD"/>
    <w:multiLevelType w:val="multilevel"/>
    <w:tmpl w:val="2C38A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D8143D"/>
    <w:multiLevelType w:val="hybridMultilevel"/>
    <w:tmpl w:val="3DA2E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E7"/>
    <w:rsid w:val="00002DA0"/>
    <w:rsid w:val="000456CE"/>
    <w:rsid w:val="00052227"/>
    <w:rsid w:val="000A3ADD"/>
    <w:rsid w:val="000E5E84"/>
    <w:rsid w:val="001001B9"/>
    <w:rsid w:val="00154DD9"/>
    <w:rsid w:val="00170BDD"/>
    <w:rsid w:val="00183A60"/>
    <w:rsid w:val="001A77CB"/>
    <w:rsid w:val="00272343"/>
    <w:rsid w:val="0030526C"/>
    <w:rsid w:val="00330592"/>
    <w:rsid w:val="0037418A"/>
    <w:rsid w:val="003D47F5"/>
    <w:rsid w:val="00407AEE"/>
    <w:rsid w:val="00474BDC"/>
    <w:rsid w:val="0047755A"/>
    <w:rsid w:val="004C16E2"/>
    <w:rsid w:val="005D70BB"/>
    <w:rsid w:val="005E5CE7"/>
    <w:rsid w:val="005E604A"/>
    <w:rsid w:val="005F02D2"/>
    <w:rsid w:val="0061044C"/>
    <w:rsid w:val="00632ABF"/>
    <w:rsid w:val="00634772"/>
    <w:rsid w:val="00652BD5"/>
    <w:rsid w:val="00673F72"/>
    <w:rsid w:val="006B405B"/>
    <w:rsid w:val="006E04A0"/>
    <w:rsid w:val="00711D2D"/>
    <w:rsid w:val="0071566F"/>
    <w:rsid w:val="00760F96"/>
    <w:rsid w:val="007A18A5"/>
    <w:rsid w:val="00804D47"/>
    <w:rsid w:val="00846502"/>
    <w:rsid w:val="00857AD3"/>
    <w:rsid w:val="00901850"/>
    <w:rsid w:val="00985E19"/>
    <w:rsid w:val="009B26B3"/>
    <w:rsid w:val="00A35800"/>
    <w:rsid w:val="00A41D64"/>
    <w:rsid w:val="00B16479"/>
    <w:rsid w:val="00B57F09"/>
    <w:rsid w:val="00B82CB5"/>
    <w:rsid w:val="00BB7835"/>
    <w:rsid w:val="00BF39C6"/>
    <w:rsid w:val="00CD3A34"/>
    <w:rsid w:val="00D13011"/>
    <w:rsid w:val="00D247B2"/>
    <w:rsid w:val="00E5000D"/>
    <w:rsid w:val="00E70007"/>
    <w:rsid w:val="00F03271"/>
    <w:rsid w:val="00F04EE1"/>
    <w:rsid w:val="00F605AA"/>
    <w:rsid w:val="00F62B40"/>
    <w:rsid w:val="00F6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0DD7"/>
  <w14:defaultImageDpi w14:val="32767"/>
  <w15:chartTrackingRefBased/>
  <w15:docId w15:val="{42E5199E-F142-4C4B-B7E5-F70945F5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6E04A0"/>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755A"/>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052227"/>
    <w:rPr>
      <w:i/>
      <w:iCs/>
    </w:rPr>
  </w:style>
  <w:style w:type="paragraph" w:styleId="ListParagraph">
    <w:name w:val="List Paragraph"/>
    <w:basedOn w:val="Normal"/>
    <w:uiPriority w:val="34"/>
    <w:qFormat/>
    <w:rsid w:val="00272343"/>
    <w:pPr>
      <w:ind w:left="720"/>
      <w:contextualSpacing/>
    </w:pPr>
  </w:style>
  <w:style w:type="character" w:styleId="Hyperlink">
    <w:name w:val="Hyperlink"/>
    <w:basedOn w:val="DefaultParagraphFont"/>
    <w:uiPriority w:val="99"/>
    <w:unhideWhenUsed/>
    <w:rsid w:val="00B16479"/>
    <w:rPr>
      <w:color w:val="0563C1" w:themeColor="hyperlink"/>
      <w:u w:val="single"/>
    </w:rPr>
  </w:style>
  <w:style w:type="character" w:styleId="UnresolvedMention">
    <w:name w:val="Unresolved Mention"/>
    <w:basedOn w:val="DefaultParagraphFont"/>
    <w:uiPriority w:val="99"/>
    <w:rsid w:val="00B16479"/>
    <w:rPr>
      <w:color w:val="605E5C"/>
      <w:shd w:val="clear" w:color="auto" w:fill="E1DFDD"/>
    </w:rPr>
  </w:style>
  <w:style w:type="character" w:customStyle="1" w:styleId="apple-converted-space">
    <w:name w:val="apple-converted-space"/>
    <w:basedOn w:val="DefaultParagraphFont"/>
    <w:rsid w:val="0071566F"/>
  </w:style>
  <w:style w:type="character" w:styleId="FollowedHyperlink">
    <w:name w:val="FollowedHyperlink"/>
    <w:basedOn w:val="DefaultParagraphFont"/>
    <w:uiPriority w:val="99"/>
    <w:semiHidden/>
    <w:unhideWhenUsed/>
    <w:rsid w:val="001A77CB"/>
    <w:rPr>
      <w:color w:val="954F72" w:themeColor="followedHyperlink"/>
      <w:u w:val="single"/>
    </w:rPr>
  </w:style>
  <w:style w:type="paragraph" w:styleId="Footer">
    <w:name w:val="footer"/>
    <w:basedOn w:val="Normal"/>
    <w:link w:val="FooterChar"/>
    <w:uiPriority w:val="99"/>
    <w:unhideWhenUsed/>
    <w:rsid w:val="003D47F5"/>
    <w:pPr>
      <w:tabs>
        <w:tab w:val="center" w:pos="4513"/>
        <w:tab w:val="right" w:pos="9026"/>
      </w:tabs>
    </w:pPr>
  </w:style>
  <w:style w:type="character" w:customStyle="1" w:styleId="FooterChar">
    <w:name w:val="Footer Char"/>
    <w:basedOn w:val="DefaultParagraphFont"/>
    <w:link w:val="Footer"/>
    <w:uiPriority w:val="99"/>
    <w:rsid w:val="003D47F5"/>
  </w:style>
  <w:style w:type="character" w:styleId="PageNumber">
    <w:name w:val="page number"/>
    <w:basedOn w:val="DefaultParagraphFont"/>
    <w:uiPriority w:val="99"/>
    <w:semiHidden/>
    <w:unhideWhenUsed/>
    <w:rsid w:val="003D47F5"/>
  </w:style>
  <w:style w:type="character" w:customStyle="1" w:styleId="Heading2Char">
    <w:name w:val="Heading 2 Char"/>
    <w:basedOn w:val="DefaultParagraphFont"/>
    <w:link w:val="Heading2"/>
    <w:uiPriority w:val="9"/>
    <w:rsid w:val="006E04A0"/>
    <w:rPr>
      <w:rFonts w:asciiTheme="majorHAnsi" w:eastAsiaTheme="majorEastAsia" w:hAnsiTheme="majorHAnsi" w:cstheme="majorBidi"/>
      <w:color w:val="2F5496" w:themeColor="accent1" w:themeShade="BF"/>
      <w:sz w:val="26"/>
      <w:szCs w:val="2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0883">
      <w:bodyDiv w:val="1"/>
      <w:marLeft w:val="0"/>
      <w:marRight w:val="0"/>
      <w:marTop w:val="0"/>
      <w:marBottom w:val="0"/>
      <w:divBdr>
        <w:top w:val="none" w:sz="0" w:space="0" w:color="auto"/>
        <w:left w:val="none" w:sz="0" w:space="0" w:color="auto"/>
        <w:bottom w:val="none" w:sz="0" w:space="0" w:color="auto"/>
        <w:right w:val="none" w:sz="0" w:space="0" w:color="auto"/>
      </w:divBdr>
    </w:div>
    <w:div w:id="420685605">
      <w:bodyDiv w:val="1"/>
      <w:marLeft w:val="0"/>
      <w:marRight w:val="0"/>
      <w:marTop w:val="0"/>
      <w:marBottom w:val="0"/>
      <w:divBdr>
        <w:top w:val="none" w:sz="0" w:space="0" w:color="auto"/>
        <w:left w:val="none" w:sz="0" w:space="0" w:color="auto"/>
        <w:bottom w:val="none" w:sz="0" w:space="0" w:color="auto"/>
        <w:right w:val="none" w:sz="0" w:space="0" w:color="auto"/>
      </w:divBdr>
      <w:divsChild>
        <w:div w:id="1791899469">
          <w:marLeft w:val="0"/>
          <w:marRight w:val="0"/>
          <w:marTop w:val="0"/>
          <w:marBottom w:val="0"/>
          <w:divBdr>
            <w:top w:val="none" w:sz="0" w:space="0" w:color="auto"/>
            <w:left w:val="none" w:sz="0" w:space="0" w:color="auto"/>
            <w:bottom w:val="none" w:sz="0" w:space="0" w:color="auto"/>
            <w:right w:val="none" w:sz="0" w:space="0" w:color="auto"/>
          </w:divBdr>
          <w:divsChild>
            <w:div w:id="657466713">
              <w:marLeft w:val="0"/>
              <w:marRight w:val="0"/>
              <w:marTop w:val="0"/>
              <w:marBottom w:val="0"/>
              <w:divBdr>
                <w:top w:val="none" w:sz="0" w:space="0" w:color="auto"/>
                <w:left w:val="none" w:sz="0" w:space="0" w:color="auto"/>
                <w:bottom w:val="none" w:sz="0" w:space="0" w:color="auto"/>
                <w:right w:val="none" w:sz="0" w:space="0" w:color="auto"/>
              </w:divBdr>
              <w:divsChild>
                <w:div w:id="17306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ealth.govt.nz/system/files/documents/pages/wairarapa-case-study-report.pdf" TargetMode="External"/><Relationship Id="rId4" Type="http://schemas.openxmlformats.org/officeDocument/2006/relationships/settings" Target="settings.xml"/><Relationship Id="rId9" Type="http://schemas.openxmlformats.org/officeDocument/2006/relationships/hyperlink" Target="http://www.katoa.ne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726F-E07B-7D46-B1A8-BDDCD650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Wall</dc:creator>
  <cp:keywords/>
  <dc:description/>
  <cp:lastModifiedBy>Gabrielle Para</cp:lastModifiedBy>
  <cp:revision>2</cp:revision>
  <cp:lastPrinted>2020-06-04T04:18:00Z</cp:lastPrinted>
  <dcterms:created xsi:type="dcterms:W3CDTF">2020-06-04T23:05:00Z</dcterms:created>
  <dcterms:modified xsi:type="dcterms:W3CDTF">2020-06-04T23:05:00Z</dcterms:modified>
</cp:coreProperties>
</file>